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3799E" w14:textId="77777777" w:rsidR="00BF1B14" w:rsidRPr="00873C2F" w:rsidRDefault="00BF1B14" w:rsidP="00CA33AD">
      <w:pPr>
        <w:rPr>
          <w:rFonts w:ascii="Poppins" w:hAnsi="Poppins" w:cs="Poppins"/>
          <w:b/>
          <w:bCs/>
          <w:sz w:val="24"/>
          <w:szCs w:val="24"/>
        </w:rPr>
      </w:pPr>
    </w:p>
    <w:p w14:paraId="5527D1A8" w14:textId="62680F83" w:rsidR="00980C25" w:rsidRPr="00873C2F" w:rsidRDefault="00980C25" w:rsidP="00980C25">
      <w:pPr>
        <w:jc w:val="right"/>
        <w:rPr>
          <w:rFonts w:ascii="Poppins" w:hAnsi="Poppins" w:cs="Poppins"/>
          <w:sz w:val="20"/>
          <w:szCs w:val="20"/>
        </w:rPr>
      </w:pPr>
      <w:r w:rsidRPr="00873C2F">
        <w:rPr>
          <w:rFonts w:ascii="Poppins" w:hAnsi="Poppins" w:cs="Poppins"/>
          <w:sz w:val="20"/>
          <w:szCs w:val="20"/>
        </w:rPr>
        <w:t xml:space="preserve">Warszawa, </w:t>
      </w:r>
      <w:r w:rsidR="00AF182F" w:rsidRPr="00873C2F">
        <w:rPr>
          <w:rFonts w:ascii="Poppins" w:hAnsi="Poppins" w:cs="Poppins"/>
          <w:sz w:val="20"/>
          <w:szCs w:val="20"/>
        </w:rPr>
        <w:t>1</w:t>
      </w:r>
      <w:r w:rsidRPr="00873C2F">
        <w:rPr>
          <w:rFonts w:ascii="Poppins" w:hAnsi="Poppins" w:cs="Poppins"/>
          <w:sz w:val="20"/>
          <w:szCs w:val="20"/>
        </w:rPr>
        <w:t>.0</w:t>
      </w:r>
      <w:r w:rsidR="00873C2F" w:rsidRPr="00873C2F">
        <w:rPr>
          <w:rFonts w:ascii="Poppins" w:hAnsi="Poppins" w:cs="Poppins"/>
          <w:sz w:val="20"/>
          <w:szCs w:val="20"/>
        </w:rPr>
        <w:t>8</w:t>
      </w:r>
      <w:r w:rsidRPr="00873C2F">
        <w:rPr>
          <w:rFonts w:ascii="Poppins" w:hAnsi="Poppins" w:cs="Poppins"/>
          <w:sz w:val="20"/>
          <w:szCs w:val="20"/>
        </w:rPr>
        <w:t>.202</w:t>
      </w:r>
      <w:r w:rsidR="000E0990" w:rsidRPr="00873C2F">
        <w:rPr>
          <w:rFonts w:ascii="Poppins" w:hAnsi="Poppins" w:cs="Poppins"/>
          <w:sz w:val="20"/>
          <w:szCs w:val="20"/>
        </w:rPr>
        <w:t>5</w:t>
      </w:r>
      <w:r w:rsidRPr="00873C2F">
        <w:rPr>
          <w:rFonts w:ascii="Poppins" w:hAnsi="Poppins" w:cs="Poppins"/>
          <w:sz w:val="20"/>
          <w:szCs w:val="20"/>
        </w:rPr>
        <w:t xml:space="preserve"> r.</w:t>
      </w:r>
    </w:p>
    <w:p w14:paraId="73A30673" w14:textId="695AA18C" w:rsidR="00980C25" w:rsidRPr="00873C2F" w:rsidRDefault="00980C25" w:rsidP="00980C25">
      <w:pPr>
        <w:spacing w:before="120" w:after="120" w:line="240" w:lineRule="auto"/>
        <w:rPr>
          <w:rFonts w:ascii="Poppins" w:hAnsi="Poppins" w:cs="Poppins"/>
          <w:sz w:val="24"/>
          <w:szCs w:val="24"/>
        </w:rPr>
      </w:pPr>
      <w:r w:rsidRPr="00873C2F">
        <w:rPr>
          <w:rFonts w:ascii="Poppins" w:hAnsi="Poppins" w:cs="Poppins"/>
          <w:sz w:val="24"/>
          <w:szCs w:val="24"/>
        </w:rPr>
        <w:t xml:space="preserve">Autor: Jarosław </w:t>
      </w:r>
      <w:proofErr w:type="spellStart"/>
      <w:r w:rsidRPr="00873C2F">
        <w:rPr>
          <w:rFonts w:ascii="Poppins" w:hAnsi="Poppins" w:cs="Poppins"/>
          <w:sz w:val="24"/>
          <w:szCs w:val="24"/>
        </w:rPr>
        <w:t>Jędrzyński</w:t>
      </w:r>
      <w:proofErr w:type="spellEnd"/>
      <w:r w:rsidR="00873C2F" w:rsidRPr="00873C2F">
        <w:rPr>
          <w:rFonts w:ascii="Poppins" w:hAnsi="Poppins" w:cs="Poppins"/>
          <w:sz w:val="24"/>
          <w:szCs w:val="24"/>
        </w:rPr>
        <w:t>, ekspert portalu RynekPierwotny.pl</w:t>
      </w:r>
    </w:p>
    <w:p w14:paraId="503B639C" w14:textId="679450D9" w:rsidR="00980C25" w:rsidRPr="00873C2F" w:rsidRDefault="001F4C7B" w:rsidP="00980C25">
      <w:pPr>
        <w:spacing w:before="120" w:after="120" w:line="240" w:lineRule="auto"/>
        <w:rPr>
          <w:rFonts w:ascii="Poppins" w:eastAsia="Times New Roman" w:hAnsi="Poppins" w:cs="Poppins"/>
          <w:b/>
          <w:bCs/>
          <w:sz w:val="32"/>
          <w:szCs w:val="32"/>
          <w:lang w:eastAsia="pl-PL"/>
        </w:rPr>
      </w:pPr>
      <w:r w:rsidRPr="00873C2F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>R</w:t>
      </w:r>
      <w:r w:rsidR="00D54A80" w:rsidRPr="00873C2F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>yn</w:t>
      </w:r>
      <w:r w:rsidRPr="00873C2F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>ek</w:t>
      </w:r>
      <w:r w:rsidR="00D54A80" w:rsidRPr="00873C2F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 xml:space="preserve"> materiałów budowlanych</w:t>
      </w:r>
      <w:r w:rsidRPr="00873C2F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 xml:space="preserve"> </w:t>
      </w:r>
      <w:r w:rsidR="0092726C" w:rsidRPr="00873C2F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>wciąż w</w:t>
      </w:r>
      <w:r w:rsidR="007444A9" w:rsidRPr="00873C2F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 xml:space="preserve"> stanie</w:t>
      </w:r>
      <w:r w:rsidR="0092726C" w:rsidRPr="00873C2F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 xml:space="preserve"> wyczekiwani</w:t>
      </w:r>
      <w:r w:rsidR="007444A9" w:rsidRPr="00873C2F">
        <w:rPr>
          <w:rFonts w:ascii="Poppins" w:eastAsia="Times New Roman" w:hAnsi="Poppins" w:cs="Poppins"/>
          <w:b/>
          <w:bCs/>
          <w:sz w:val="32"/>
          <w:szCs w:val="32"/>
          <w:lang w:eastAsia="pl-PL"/>
        </w:rPr>
        <w:t xml:space="preserve">a </w:t>
      </w:r>
    </w:p>
    <w:p w14:paraId="11693F00" w14:textId="69C47964" w:rsidR="00980C25" w:rsidRPr="00873C2F" w:rsidRDefault="008A7868" w:rsidP="00980C25">
      <w:pPr>
        <w:spacing w:before="120" w:after="120" w:line="240" w:lineRule="auto"/>
        <w:rPr>
          <w:rFonts w:ascii="Poppins" w:eastAsia="Times New Roman" w:hAnsi="Poppins" w:cs="Poppins"/>
          <w:b/>
          <w:bCs/>
          <w:sz w:val="21"/>
          <w:szCs w:val="21"/>
          <w:lang w:eastAsia="pl-PL"/>
        </w:rPr>
      </w:pPr>
      <w:r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Pierwsze półrocze br. upłynęło pod znakiem stabilizacji </w:t>
      </w:r>
      <w:r w:rsidR="00980C25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dynamiki cen materiałów budowlanych </w:t>
      </w:r>
      <w:r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w wąskim przedziale wartości ujemnych nie przekraczających poziomu -1 proc. </w:t>
      </w:r>
      <w:r w:rsidR="001F11FD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S</w:t>
      </w:r>
      <w:r w:rsidR="00A205D6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ęk w tym, że taka sytuacja utrzymuje się już </w:t>
      </w:r>
      <w:r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od</w:t>
      </w:r>
      <w:r w:rsidR="00A205D6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 ponad roku i</w:t>
      </w:r>
      <w:r w:rsidR="00980C25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 </w:t>
      </w:r>
      <w:r w:rsidR="00F121DB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zdaje się nie mieć końca. </w:t>
      </w:r>
      <w:r w:rsidR="00A205D6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Niezmiennie</w:t>
      </w:r>
      <w:r w:rsidR="00F121DB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 także w </w:t>
      </w:r>
      <w:r w:rsidR="00A205D6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czerwcu</w:t>
      </w:r>
      <w:r w:rsidR="00F121DB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 </w:t>
      </w:r>
      <w:r w:rsidR="00980C25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spadkowy trend </w:t>
      </w:r>
      <w:r w:rsidR="005A5BE8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na poziomie ułamka procenta w relacji rok do roku został </w:t>
      </w:r>
      <w:r w:rsidR="00A205D6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>zachowany.</w:t>
      </w:r>
      <w:r w:rsidR="00980C25" w:rsidRPr="00873C2F">
        <w:rPr>
          <w:rFonts w:ascii="Poppins" w:eastAsia="Times New Roman" w:hAnsi="Poppins" w:cs="Poppins"/>
          <w:b/>
          <w:bCs/>
          <w:sz w:val="21"/>
          <w:szCs w:val="21"/>
          <w:lang w:eastAsia="pl-PL"/>
        </w:rPr>
        <w:t xml:space="preserve"> </w:t>
      </w:r>
    </w:p>
    <w:p w14:paraId="3439980D" w14:textId="68A41A25" w:rsidR="00980C25" w:rsidRPr="00873C2F" w:rsidRDefault="00A205D6" w:rsidP="00980C25">
      <w:pPr>
        <w:spacing w:before="120" w:after="120" w:line="240" w:lineRule="auto"/>
        <w:rPr>
          <w:rFonts w:ascii="Poppins" w:eastAsia="Times New Roman" w:hAnsi="Poppins" w:cs="Poppins"/>
          <w:sz w:val="21"/>
          <w:szCs w:val="21"/>
          <w:lang w:eastAsia="pl-PL"/>
        </w:rPr>
      </w:pPr>
      <w:r w:rsidRPr="00873C2F">
        <w:rPr>
          <w:rFonts w:ascii="Poppins" w:eastAsia="Times New Roman" w:hAnsi="Poppins" w:cs="Poppins"/>
          <w:sz w:val="21"/>
          <w:szCs w:val="21"/>
          <w:lang w:eastAsia="pl-PL"/>
        </w:rPr>
        <w:t>Komunikowana co miesiąc</w:t>
      </w:r>
      <w:r w:rsidR="00980C25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 przez Grupę PSB średnia dynamika cen materiałów budowlanych w relacji rok do roku w </w:t>
      </w:r>
      <w:r w:rsidR="0092726C" w:rsidRPr="00873C2F">
        <w:rPr>
          <w:rFonts w:ascii="Poppins" w:eastAsia="Times New Roman" w:hAnsi="Poppins" w:cs="Poppins"/>
          <w:sz w:val="21"/>
          <w:szCs w:val="21"/>
          <w:lang w:eastAsia="pl-PL"/>
        </w:rPr>
        <w:t>czerwcu</w:t>
      </w:r>
      <w:r w:rsidR="00980C25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 zanotowała kolejny raz </w:t>
      </w:r>
      <w:r w:rsidR="00B80738" w:rsidRPr="00873C2F">
        <w:rPr>
          <w:rFonts w:ascii="Poppins" w:eastAsia="Times New Roman" w:hAnsi="Poppins" w:cs="Poppins"/>
          <w:sz w:val="21"/>
          <w:szCs w:val="21"/>
          <w:lang w:eastAsia="pl-PL"/>
        </w:rPr>
        <w:t>kosmetyczny</w:t>
      </w:r>
      <w:r w:rsidR="0092726C" w:rsidRPr="00873C2F">
        <w:rPr>
          <w:rFonts w:ascii="Poppins" w:eastAsia="Times New Roman" w:hAnsi="Poppins" w:cs="Poppins"/>
          <w:sz w:val="21"/>
          <w:szCs w:val="21"/>
          <w:lang w:eastAsia="pl-PL"/>
        </w:rPr>
        <w:t>, typowy dla ostatnich okresów</w:t>
      </w:r>
      <w:r w:rsidR="00873C2F">
        <w:rPr>
          <w:rFonts w:ascii="Poppins" w:eastAsia="Times New Roman" w:hAnsi="Poppins" w:cs="Poppins"/>
          <w:sz w:val="21"/>
          <w:szCs w:val="21"/>
          <w:lang w:eastAsia="pl-PL"/>
        </w:rPr>
        <w:t>,</w:t>
      </w:r>
      <w:r w:rsidR="00B80738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 spadek </w:t>
      </w:r>
      <w:r w:rsidR="00980C25" w:rsidRPr="00873C2F">
        <w:rPr>
          <w:rFonts w:ascii="Poppins" w:eastAsia="Times New Roman" w:hAnsi="Poppins" w:cs="Poppins"/>
          <w:sz w:val="21"/>
          <w:szCs w:val="21"/>
          <w:lang w:eastAsia="pl-PL"/>
        </w:rPr>
        <w:t>wartoś</w:t>
      </w:r>
      <w:r w:rsidR="00B80738" w:rsidRPr="00873C2F">
        <w:rPr>
          <w:rFonts w:ascii="Poppins" w:eastAsia="Times New Roman" w:hAnsi="Poppins" w:cs="Poppins"/>
          <w:sz w:val="21"/>
          <w:szCs w:val="21"/>
          <w:lang w:eastAsia="pl-PL"/>
        </w:rPr>
        <w:t>ci</w:t>
      </w:r>
      <w:r w:rsidR="00980C25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, tym razem </w:t>
      </w:r>
      <w:r w:rsidR="00B80738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o </w:t>
      </w:r>
      <w:r w:rsidR="005A5BE8" w:rsidRPr="00873C2F">
        <w:rPr>
          <w:rFonts w:ascii="Poppins" w:eastAsia="Times New Roman" w:hAnsi="Poppins" w:cs="Poppins"/>
          <w:sz w:val="21"/>
          <w:szCs w:val="21"/>
          <w:lang w:eastAsia="pl-PL"/>
        </w:rPr>
        <w:t>0,</w:t>
      </w:r>
      <w:r w:rsidRPr="00873C2F">
        <w:rPr>
          <w:rFonts w:ascii="Poppins" w:eastAsia="Times New Roman" w:hAnsi="Poppins" w:cs="Poppins"/>
          <w:sz w:val="21"/>
          <w:szCs w:val="21"/>
          <w:lang w:eastAsia="pl-PL"/>
        </w:rPr>
        <w:t>8</w:t>
      </w:r>
      <w:r w:rsidR="00980C25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%. W </w:t>
      </w:r>
      <w:r w:rsidR="0092726C" w:rsidRPr="00873C2F">
        <w:rPr>
          <w:rFonts w:ascii="Poppins" w:eastAsia="Times New Roman" w:hAnsi="Poppins" w:cs="Poppins"/>
          <w:sz w:val="21"/>
          <w:szCs w:val="21"/>
          <w:lang w:eastAsia="pl-PL"/>
        </w:rPr>
        <w:t>ujęciu</w:t>
      </w:r>
      <w:r w:rsidR="00980C25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 detalicznym </w:t>
      </w:r>
      <w:r w:rsidR="005D72F5" w:rsidRPr="00873C2F">
        <w:rPr>
          <w:rFonts w:ascii="Poppins" w:eastAsia="Times New Roman" w:hAnsi="Poppins" w:cs="Poppins"/>
          <w:sz w:val="21"/>
          <w:szCs w:val="21"/>
          <w:lang w:eastAsia="pl-PL"/>
        </w:rPr>
        <w:t>zniżka</w:t>
      </w:r>
      <w:r w:rsidR="00980C25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 </w:t>
      </w:r>
      <w:r w:rsidR="005D72F5" w:rsidRPr="00873C2F">
        <w:rPr>
          <w:rFonts w:ascii="Poppins" w:eastAsia="Times New Roman" w:hAnsi="Poppins" w:cs="Poppins"/>
          <w:sz w:val="21"/>
          <w:szCs w:val="21"/>
          <w:lang w:eastAsia="pl-PL"/>
        </w:rPr>
        <w:t>wyniosła</w:t>
      </w:r>
      <w:r w:rsidR="00980C25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 </w:t>
      </w:r>
      <w:r w:rsidR="005A5BE8" w:rsidRPr="00873C2F">
        <w:rPr>
          <w:rFonts w:ascii="Poppins" w:eastAsia="Times New Roman" w:hAnsi="Poppins" w:cs="Poppins"/>
          <w:sz w:val="21"/>
          <w:szCs w:val="21"/>
          <w:lang w:eastAsia="pl-PL"/>
        </w:rPr>
        <w:t>0,</w:t>
      </w:r>
      <w:r w:rsidR="0092726C" w:rsidRPr="00873C2F">
        <w:rPr>
          <w:rFonts w:ascii="Poppins" w:eastAsia="Times New Roman" w:hAnsi="Poppins" w:cs="Poppins"/>
          <w:sz w:val="21"/>
          <w:szCs w:val="21"/>
          <w:lang w:eastAsia="pl-PL"/>
        </w:rPr>
        <w:t>4</w:t>
      </w:r>
      <w:r w:rsidR="00980C25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%, z kolei w kanale hurtowym </w:t>
      </w:r>
      <w:r w:rsidR="0092726C" w:rsidRPr="00873C2F">
        <w:rPr>
          <w:rFonts w:ascii="Poppins" w:eastAsia="Times New Roman" w:hAnsi="Poppins" w:cs="Poppins"/>
          <w:sz w:val="21"/>
          <w:szCs w:val="21"/>
          <w:lang w:eastAsia="pl-PL"/>
        </w:rPr>
        <w:t>1,1</w:t>
      </w:r>
      <w:r w:rsidR="00980C25" w:rsidRPr="00873C2F">
        <w:rPr>
          <w:rFonts w:ascii="Poppins" w:eastAsia="Times New Roman" w:hAnsi="Poppins" w:cs="Poppins"/>
          <w:sz w:val="21"/>
          <w:szCs w:val="21"/>
          <w:lang w:eastAsia="pl-PL"/>
        </w:rPr>
        <w:t>%.</w:t>
      </w:r>
      <w:r w:rsidR="00B80738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 </w:t>
      </w:r>
      <w:r w:rsidR="0092726C" w:rsidRPr="00873C2F">
        <w:rPr>
          <w:rFonts w:ascii="Poppins" w:eastAsia="Times New Roman" w:hAnsi="Poppins" w:cs="Poppins"/>
          <w:sz w:val="21"/>
          <w:szCs w:val="21"/>
          <w:lang w:eastAsia="pl-PL"/>
        </w:rPr>
        <w:t>Tym sposobem</w:t>
      </w:r>
      <w:r w:rsidR="00B80738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 średnie zmiany stawek w relacji miesiąc do miesiąca </w:t>
      </w:r>
      <w:r w:rsidR="0092726C" w:rsidRPr="00873C2F">
        <w:rPr>
          <w:rFonts w:ascii="Poppins" w:eastAsia="Times New Roman" w:hAnsi="Poppins" w:cs="Poppins"/>
          <w:sz w:val="21"/>
          <w:szCs w:val="21"/>
          <w:lang w:eastAsia="pl-PL"/>
        </w:rPr>
        <w:t>pozostają</w:t>
      </w:r>
      <w:r w:rsidR="00B80738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 </w:t>
      </w:r>
      <w:r w:rsidR="0092726C" w:rsidRPr="00873C2F">
        <w:rPr>
          <w:rFonts w:ascii="Poppins" w:eastAsia="Times New Roman" w:hAnsi="Poppins" w:cs="Poppins"/>
          <w:sz w:val="21"/>
          <w:szCs w:val="21"/>
          <w:lang w:eastAsia="pl-PL"/>
        </w:rPr>
        <w:t>wciąż bardzo mało znaczące dla rynkowej koniunktury.</w:t>
      </w:r>
      <w:r w:rsidR="00980C25" w:rsidRPr="00873C2F">
        <w:rPr>
          <w:rFonts w:ascii="Poppins" w:eastAsia="Times New Roman" w:hAnsi="Poppins" w:cs="Poppins"/>
          <w:sz w:val="21"/>
          <w:szCs w:val="21"/>
          <w:lang w:eastAsia="pl-PL"/>
        </w:rPr>
        <w:t xml:space="preserve"> </w:t>
      </w:r>
    </w:p>
    <w:p w14:paraId="208AEFA9" w14:textId="68FCB0B6" w:rsidR="00980C25" w:rsidRPr="00873C2F" w:rsidRDefault="00637BDE" w:rsidP="00980C25">
      <w:pPr>
        <w:spacing w:before="120" w:after="120" w:line="240" w:lineRule="auto"/>
        <w:rPr>
          <w:rFonts w:ascii="Poppins" w:eastAsia="Times New Roman" w:hAnsi="Poppins" w:cs="Poppins"/>
          <w:sz w:val="21"/>
          <w:szCs w:val="21"/>
          <w:lang w:eastAsia="pl-PL"/>
        </w:rPr>
      </w:pPr>
      <w:r>
        <w:rPr>
          <w:rFonts w:ascii="Poppins" w:hAnsi="Poppins" w:cs="Poppins"/>
          <w:noProof/>
          <w:sz w:val="21"/>
          <w:szCs w:val="21"/>
        </w:rPr>
        <w:drawing>
          <wp:inline distT="0" distB="0" distL="0" distR="0" wp14:anchorId="36A3E9ED" wp14:editId="7C306E19">
            <wp:extent cx="6644640" cy="4404360"/>
            <wp:effectExtent l="0" t="0" r="3810" b="0"/>
            <wp:docPr id="5764792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440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033C2" w14:textId="1623E93C" w:rsidR="009325A0" w:rsidRPr="00873C2F" w:rsidRDefault="009325A0" w:rsidP="005D7F63">
      <w:pPr>
        <w:spacing w:before="120" w:after="120" w:line="240" w:lineRule="auto"/>
        <w:jc w:val="both"/>
        <w:rPr>
          <w:rFonts w:ascii="Poppins" w:hAnsi="Poppins" w:cs="Poppins"/>
          <w:color w:val="333333"/>
          <w:sz w:val="21"/>
          <w:szCs w:val="21"/>
          <w:shd w:val="clear" w:color="auto" w:fill="FFFFFF"/>
        </w:rPr>
      </w:pPr>
      <w:r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Wzrost cen 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w czerwcu</w:t>
      </w:r>
      <w:r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2025 r. w porównaniu do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analogicznego miesiąca</w:t>
      </w:r>
      <w:r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2024 r. odnotowano </w:t>
      </w:r>
      <w:r w:rsidR="00B80738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zaledwie w 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3</w:t>
      </w:r>
      <w:r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grupach towarowych, bez zmian</w:t>
      </w:r>
      <w:r w:rsidRPr="00873C2F">
        <w:rPr>
          <w:rFonts w:ascii="Poppins" w:hAnsi="Poppins" w:cs="Poppins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pozostały ceny w 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5</w:t>
      </w:r>
      <w:r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kategoriach, natomiast spadki wystąpiły w 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12</w:t>
      </w:r>
      <w:r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pod</w:t>
      </w:r>
      <w:r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grupach.</w:t>
      </w:r>
      <w:r w:rsidR="00073F83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Takie proporcje 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w dalszym ciągu </w:t>
      </w:r>
      <w:r w:rsidR="00073F83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wskazują na silnie utrwalony trend spadkowy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o zdecydowanie umiarkowanym charakterze</w:t>
      </w:r>
      <w:r w:rsidR="00073F83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.</w:t>
      </w:r>
    </w:p>
    <w:p w14:paraId="3BD0C2FE" w14:textId="7CF6896D" w:rsidR="009325A0" w:rsidRPr="00873C2F" w:rsidRDefault="00873C2F" w:rsidP="005D7F63">
      <w:pPr>
        <w:spacing w:before="120" w:after="120" w:line="240" w:lineRule="auto"/>
        <w:jc w:val="both"/>
        <w:rPr>
          <w:rFonts w:ascii="Poppins" w:hAnsi="Poppins" w:cs="Poppins"/>
          <w:color w:val="333333"/>
          <w:sz w:val="21"/>
          <w:szCs w:val="21"/>
          <w:shd w:val="clear" w:color="auto" w:fill="FFFFFF"/>
        </w:rPr>
      </w:pPr>
      <w:r>
        <w:rPr>
          <w:rFonts w:ascii="Poppins" w:hAnsi="Poppins" w:cs="Poppins"/>
          <w:color w:val="333333"/>
          <w:sz w:val="21"/>
          <w:szCs w:val="21"/>
          <w:shd w:val="clear" w:color="auto" w:fill="FFFFFF"/>
        </w:rPr>
        <w:lastRenderedPageBreak/>
        <w:t xml:space="preserve">Jak zauważają eksperci portalu </w:t>
      </w:r>
      <w:hyperlink r:id="rId9" w:history="1">
        <w:r w:rsidRPr="003D096C">
          <w:rPr>
            <w:rStyle w:val="Hipercze"/>
            <w:rFonts w:ascii="Poppins" w:hAnsi="Poppins" w:cs="Poppins"/>
            <w:color w:val="auto"/>
            <w:sz w:val="21"/>
            <w:szCs w:val="21"/>
            <w:shd w:val="clear" w:color="auto" w:fill="FFFFFF"/>
          </w:rPr>
          <w:t>RynekPierwotny.pl</w:t>
        </w:r>
      </w:hyperlink>
      <w:r w:rsidRPr="003D096C">
        <w:rPr>
          <w:rFonts w:ascii="Poppins" w:hAnsi="Poppins" w:cs="Poppins"/>
          <w:sz w:val="21"/>
          <w:szCs w:val="21"/>
          <w:shd w:val="clear" w:color="auto" w:fill="FFFFFF"/>
        </w:rPr>
        <w:t xml:space="preserve"> n</w:t>
      </w:r>
      <w:r w:rsidR="009325A0" w:rsidRPr="003D096C">
        <w:rPr>
          <w:rFonts w:ascii="Poppins" w:hAnsi="Poppins" w:cs="Poppins"/>
          <w:sz w:val="21"/>
          <w:szCs w:val="21"/>
          <w:shd w:val="clear" w:color="auto" w:fill="FFFFFF"/>
        </w:rPr>
        <w:t xml:space="preserve">ajwiększy </w:t>
      </w:r>
      <w:r w:rsidR="009325A0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spadek cen wystąpił w przypadku</w:t>
      </w:r>
      <w:r w:rsidR="009325A0" w:rsidRPr="00873C2F">
        <w:rPr>
          <w:rFonts w:ascii="Poppins" w:hAnsi="Poppins" w:cs="Poppins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="009325A0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izolacji termicznych (-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4</w:t>
      </w:r>
      <w:r w:rsidR="00073F83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,5</w:t>
      </w:r>
      <w:r w:rsidR="009325A0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%)</w:t>
      </w:r>
      <w:r w:rsidR="00073F83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, </w:t>
      </w:r>
      <w:r w:rsidR="009325A0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oświetlenia, elektryki (-3</w:t>
      </w:r>
      <w:r w:rsidR="00073F83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,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8</w:t>
      </w:r>
      <w:r w:rsidR="009325A0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%)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oraz izolacji wodochronnych (-3,5%)</w:t>
      </w:r>
      <w:r w:rsidR="009325A0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. Z kolei największe podwyżki dotyczyły kategorii: płyty OSB, drewno (+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3,4</w:t>
      </w:r>
      <w:r w:rsidR="009325A0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%) oraz 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farby, lakiery</w:t>
      </w:r>
      <w:r w:rsidR="009325A0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 xml:space="preserve"> (+</w:t>
      </w:r>
      <w:r w:rsidR="0092726C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1,9</w:t>
      </w:r>
      <w:r w:rsidR="009325A0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%). </w:t>
      </w:r>
      <w:r w:rsidR="006F0DC2" w:rsidRPr="00873C2F">
        <w:rPr>
          <w:rFonts w:ascii="Poppins" w:hAnsi="Poppins" w:cs="Poppins"/>
          <w:color w:val="333333"/>
          <w:sz w:val="21"/>
          <w:szCs w:val="21"/>
          <w:shd w:val="clear" w:color="auto" w:fill="FFFFFF"/>
        </w:rPr>
        <w:t>Widoczny jest trend malejący pozycji drożejących, a tym samym rosnącej przewagi grup pozostających w trendach spadkowych.</w:t>
      </w:r>
    </w:p>
    <w:p w14:paraId="1F070352" w14:textId="67739B5A" w:rsidR="00EE0B22" w:rsidRPr="00873C2F" w:rsidRDefault="00B7668A" w:rsidP="00FC666B">
      <w:pPr>
        <w:spacing w:before="120" w:after="120" w:line="240" w:lineRule="auto"/>
        <w:rPr>
          <w:rFonts w:ascii="Poppins" w:hAnsi="Poppins" w:cs="Poppins"/>
          <w:sz w:val="21"/>
          <w:szCs w:val="21"/>
        </w:rPr>
      </w:pPr>
      <w:r w:rsidRPr="00873C2F">
        <w:rPr>
          <w:rFonts w:ascii="Poppins" w:hAnsi="Poppins" w:cs="Poppins"/>
          <w:sz w:val="21"/>
          <w:szCs w:val="21"/>
        </w:rPr>
        <w:t>Koniunktura na rynku materiałów budowlanych pozostaje - co oczywiste</w:t>
      </w:r>
      <w:r w:rsidR="00873C2F">
        <w:rPr>
          <w:rFonts w:ascii="Poppins" w:hAnsi="Poppins" w:cs="Poppins"/>
          <w:sz w:val="21"/>
          <w:szCs w:val="21"/>
        </w:rPr>
        <w:t xml:space="preserve"> </w:t>
      </w:r>
      <w:r w:rsidR="007444A9" w:rsidRPr="00873C2F">
        <w:rPr>
          <w:rFonts w:ascii="Poppins" w:hAnsi="Poppins" w:cs="Poppins"/>
          <w:sz w:val="21"/>
          <w:szCs w:val="21"/>
        </w:rPr>
        <w:t>-</w:t>
      </w:r>
      <w:r w:rsidRPr="00873C2F">
        <w:rPr>
          <w:rFonts w:ascii="Poppins" w:hAnsi="Poppins" w:cs="Poppins"/>
          <w:sz w:val="21"/>
          <w:szCs w:val="21"/>
        </w:rPr>
        <w:t xml:space="preserve"> bezpośrednio zależna od sytuacji w krajowej budowlance. A ta, jak niedawno zakomunikował P</w:t>
      </w:r>
      <w:r w:rsidR="009F1466" w:rsidRPr="00873C2F">
        <w:rPr>
          <w:rFonts w:ascii="Poppins" w:hAnsi="Poppins" w:cs="Poppins"/>
          <w:sz w:val="21"/>
          <w:szCs w:val="21"/>
        </w:rPr>
        <w:t xml:space="preserve">olski </w:t>
      </w:r>
      <w:r w:rsidRPr="00873C2F">
        <w:rPr>
          <w:rFonts w:ascii="Poppins" w:hAnsi="Poppins" w:cs="Poppins"/>
          <w:sz w:val="21"/>
          <w:szCs w:val="21"/>
        </w:rPr>
        <w:t>Związek</w:t>
      </w:r>
      <w:r w:rsidR="009F1466" w:rsidRPr="00873C2F">
        <w:rPr>
          <w:rFonts w:ascii="Poppins" w:hAnsi="Poppins" w:cs="Poppins"/>
          <w:sz w:val="21"/>
          <w:szCs w:val="21"/>
        </w:rPr>
        <w:t xml:space="preserve"> Pracodawców Budownictwa</w:t>
      </w:r>
      <w:r w:rsidRPr="00873C2F">
        <w:rPr>
          <w:rFonts w:ascii="Poppins" w:hAnsi="Poppins" w:cs="Poppins"/>
          <w:sz w:val="21"/>
          <w:szCs w:val="21"/>
        </w:rPr>
        <w:t>,</w:t>
      </w:r>
      <w:r w:rsidR="00EE0B22" w:rsidRPr="00873C2F">
        <w:rPr>
          <w:rFonts w:ascii="Poppins" w:hAnsi="Poppins" w:cs="Poppins"/>
          <w:sz w:val="21"/>
          <w:szCs w:val="21"/>
        </w:rPr>
        <w:t xml:space="preserve"> właśnie mierzy się z </w:t>
      </w:r>
      <w:r w:rsidR="009F1466" w:rsidRPr="00873C2F">
        <w:rPr>
          <w:rFonts w:ascii="Poppins" w:hAnsi="Poppins" w:cs="Poppins"/>
          <w:sz w:val="21"/>
          <w:szCs w:val="21"/>
        </w:rPr>
        <w:t>najpoważniejszym kryzys</w:t>
      </w:r>
      <w:r w:rsidR="00EE0B22" w:rsidRPr="00873C2F">
        <w:rPr>
          <w:rFonts w:ascii="Poppins" w:hAnsi="Poppins" w:cs="Poppins"/>
          <w:sz w:val="21"/>
          <w:szCs w:val="21"/>
        </w:rPr>
        <w:t>em</w:t>
      </w:r>
      <w:r w:rsidR="009F1466" w:rsidRPr="00873C2F">
        <w:rPr>
          <w:rFonts w:ascii="Poppins" w:hAnsi="Poppins" w:cs="Poppins"/>
          <w:sz w:val="21"/>
          <w:szCs w:val="21"/>
        </w:rPr>
        <w:t xml:space="preserve"> od 2016 roku. </w:t>
      </w:r>
    </w:p>
    <w:p w14:paraId="4F7CB965" w14:textId="15D25617" w:rsidR="00EE0B22" w:rsidRPr="00873C2F" w:rsidRDefault="00EE0B22" w:rsidP="00FC666B">
      <w:pPr>
        <w:spacing w:before="120" w:after="120" w:line="240" w:lineRule="auto"/>
        <w:rPr>
          <w:rFonts w:ascii="Poppins" w:hAnsi="Poppins" w:cs="Poppins"/>
          <w:sz w:val="21"/>
          <w:szCs w:val="21"/>
        </w:rPr>
      </w:pPr>
      <w:r w:rsidRPr="00873C2F">
        <w:rPr>
          <w:rFonts w:ascii="Poppins" w:hAnsi="Poppins" w:cs="Poppins"/>
          <w:sz w:val="21"/>
          <w:szCs w:val="21"/>
        </w:rPr>
        <w:t xml:space="preserve">Teraz potwierdzenie tezy o rekordowo słabej koniunkturze </w:t>
      </w:r>
      <w:r w:rsidR="00060B43" w:rsidRPr="00873C2F">
        <w:rPr>
          <w:rFonts w:ascii="Poppins" w:hAnsi="Poppins" w:cs="Poppins"/>
          <w:sz w:val="21"/>
          <w:szCs w:val="21"/>
        </w:rPr>
        <w:t xml:space="preserve">rodzimego sektora budowalnego zostało zakomunikowane przez warszawską giełdę. Indeks WIG-Budownictwo zanurkował w zaledwie kilka sesji o jedną dziesiątą wartości, co </w:t>
      </w:r>
      <w:r w:rsidR="0069748F" w:rsidRPr="00873C2F">
        <w:rPr>
          <w:rFonts w:ascii="Poppins" w:hAnsi="Poppins" w:cs="Poppins"/>
          <w:sz w:val="21"/>
          <w:szCs w:val="21"/>
        </w:rPr>
        <w:t xml:space="preserve">w głównej mierze </w:t>
      </w:r>
      <w:r w:rsidR="00060B43" w:rsidRPr="00873C2F">
        <w:rPr>
          <w:rFonts w:ascii="Poppins" w:hAnsi="Poppins" w:cs="Poppins"/>
          <w:sz w:val="21"/>
          <w:szCs w:val="21"/>
        </w:rPr>
        <w:t xml:space="preserve">było następstwem </w:t>
      </w:r>
      <w:r w:rsidR="0069748F" w:rsidRPr="00873C2F">
        <w:rPr>
          <w:rFonts w:ascii="Poppins" w:hAnsi="Poppins" w:cs="Poppins"/>
          <w:sz w:val="21"/>
          <w:szCs w:val="21"/>
        </w:rPr>
        <w:t xml:space="preserve">podobnej </w:t>
      </w:r>
      <w:r w:rsidR="00060B43" w:rsidRPr="00873C2F">
        <w:rPr>
          <w:rFonts w:ascii="Poppins" w:hAnsi="Poppins" w:cs="Poppins"/>
          <w:sz w:val="21"/>
          <w:szCs w:val="21"/>
        </w:rPr>
        <w:t>przeceny akcji Budimex SA</w:t>
      </w:r>
      <w:r w:rsidR="0069748F" w:rsidRPr="00873C2F">
        <w:rPr>
          <w:rFonts w:ascii="Poppins" w:hAnsi="Poppins" w:cs="Poppins"/>
          <w:sz w:val="21"/>
          <w:szCs w:val="21"/>
        </w:rPr>
        <w:t>, jednego z głównych branżowych tuzów</w:t>
      </w:r>
      <w:r w:rsidR="00060B43" w:rsidRPr="00873C2F">
        <w:rPr>
          <w:rFonts w:ascii="Poppins" w:hAnsi="Poppins" w:cs="Poppins"/>
          <w:sz w:val="21"/>
          <w:szCs w:val="21"/>
        </w:rPr>
        <w:t>.</w:t>
      </w:r>
    </w:p>
    <w:p w14:paraId="3B60BFDD" w14:textId="6CC988F0" w:rsidR="00060B43" w:rsidRPr="00873C2F" w:rsidRDefault="00873C2F" w:rsidP="00FC666B">
      <w:pPr>
        <w:spacing w:before="120" w:after="120" w:line="240" w:lineRule="auto"/>
        <w:rPr>
          <w:rFonts w:ascii="Poppins" w:hAnsi="Poppins" w:cs="Poppins"/>
          <w:sz w:val="21"/>
          <w:szCs w:val="21"/>
        </w:rPr>
      </w:pPr>
      <w:r>
        <w:rPr>
          <w:rFonts w:ascii="Poppins" w:hAnsi="Poppins" w:cs="Poppins"/>
          <w:sz w:val="21"/>
          <w:szCs w:val="21"/>
        </w:rPr>
        <w:t>Jak tłumaczą eksperci portalu RynekPierwotny.pl d</w:t>
      </w:r>
      <w:r w:rsidR="00060B43" w:rsidRPr="00873C2F">
        <w:rPr>
          <w:rFonts w:ascii="Poppins" w:hAnsi="Poppins" w:cs="Poppins"/>
          <w:sz w:val="21"/>
          <w:szCs w:val="21"/>
        </w:rPr>
        <w:t xml:space="preserve">otychczas </w:t>
      </w:r>
      <w:r w:rsidR="0069748F" w:rsidRPr="00873C2F">
        <w:rPr>
          <w:rFonts w:ascii="Poppins" w:hAnsi="Poppins" w:cs="Poppins"/>
          <w:sz w:val="21"/>
          <w:szCs w:val="21"/>
        </w:rPr>
        <w:t>giełdowy wskaźnik koniunktury spółek budowlanych prezentował się relatywnie mocno, zwłaszcza na tle</w:t>
      </w:r>
      <w:r w:rsidR="00197DDC" w:rsidRPr="00873C2F">
        <w:rPr>
          <w:rFonts w:ascii="Poppins" w:hAnsi="Poppins" w:cs="Poppins"/>
          <w:sz w:val="21"/>
          <w:szCs w:val="21"/>
        </w:rPr>
        <w:t xml:space="preserve"> zdecydowanie</w:t>
      </w:r>
      <w:r w:rsidR="0069748F" w:rsidRPr="00873C2F">
        <w:rPr>
          <w:rFonts w:ascii="Poppins" w:hAnsi="Poppins" w:cs="Poppins"/>
          <w:sz w:val="21"/>
          <w:szCs w:val="21"/>
        </w:rPr>
        <w:t xml:space="preserve"> pogarszające</w:t>
      </w:r>
      <w:r w:rsidR="00197DDC" w:rsidRPr="00873C2F">
        <w:rPr>
          <w:rFonts w:ascii="Poppins" w:hAnsi="Poppins" w:cs="Poppins"/>
          <w:sz w:val="21"/>
          <w:szCs w:val="21"/>
        </w:rPr>
        <w:t>go</w:t>
      </w:r>
      <w:r w:rsidR="0069748F" w:rsidRPr="00873C2F">
        <w:rPr>
          <w:rFonts w:ascii="Poppins" w:hAnsi="Poppins" w:cs="Poppins"/>
          <w:sz w:val="21"/>
          <w:szCs w:val="21"/>
        </w:rPr>
        <w:t xml:space="preserve"> się ich </w:t>
      </w:r>
      <w:r w:rsidR="00197DDC" w:rsidRPr="00873C2F">
        <w:rPr>
          <w:rFonts w:ascii="Poppins" w:hAnsi="Poppins" w:cs="Poppins"/>
          <w:sz w:val="21"/>
          <w:szCs w:val="21"/>
        </w:rPr>
        <w:t>środowiska gospodarczego</w:t>
      </w:r>
      <w:r w:rsidR="0069748F" w:rsidRPr="00873C2F">
        <w:rPr>
          <w:rFonts w:ascii="Poppins" w:hAnsi="Poppins" w:cs="Poppins"/>
          <w:sz w:val="21"/>
          <w:szCs w:val="21"/>
        </w:rPr>
        <w:t xml:space="preserve">. Było to zapewne spowodowane mocno nagłaśnianymi w mediach prognozami zbliżającego się boomu inwestycyjnego w ramach krajowej gospodarki w segmentach budownictwa drogowego, kolejowego, energetycznego, wojskowego czy mieszkaniowego finansowanych ze środków unijnych. Tymczasem w przedmiotowej kwestii wciąż nic albo bardzo niewiele się dzieje, co może wpływać deprymująco </w:t>
      </w:r>
      <w:r w:rsidR="00CE4E2F" w:rsidRPr="00873C2F">
        <w:rPr>
          <w:rFonts w:ascii="Poppins" w:hAnsi="Poppins" w:cs="Poppins"/>
          <w:sz w:val="21"/>
          <w:szCs w:val="21"/>
        </w:rPr>
        <w:t xml:space="preserve">nie tylko </w:t>
      </w:r>
      <w:r w:rsidR="0069748F" w:rsidRPr="00873C2F">
        <w:rPr>
          <w:rFonts w:ascii="Poppins" w:hAnsi="Poppins" w:cs="Poppins"/>
          <w:sz w:val="21"/>
          <w:szCs w:val="21"/>
        </w:rPr>
        <w:t xml:space="preserve">na inwestorów </w:t>
      </w:r>
      <w:r w:rsidR="00CE4E2F" w:rsidRPr="00873C2F">
        <w:rPr>
          <w:rFonts w:ascii="Poppins" w:hAnsi="Poppins" w:cs="Poppins"/>
          <w:sz w:val="21"/>
          <w:szCs w:val="21"/>
        </w:rPr>
        <w:t xml:space="preserve">giełdowych, ale wszystkich innych uczestników rynku budowlanego, nie wyłączając producentów materiałów budowlanych. </w:t>
      </w:r>
      <w:r w:rsidR="0069748F" w:rsidRPr="00873C2F">
        <w:rPr>
          <w:rFonts w:ascii="Poppins" w:hAnsi="Poppins" w:cs="Poppins"/>
          <w:sz w:val="21"/>
          <w:szCs w:val="21"/>
        </w:rPr>
        <w:t xml:space="preserve"> </w:t>
      </w:r>
    </w:p>
    <w:p w14:paraId="49A5C305" w14:textId="6D511212" w:rsidR="00CE4E2F" w:rsidRPr="00873C2F" w:rsidRDefault="00CE4E2F" w:rsidP="00CE4E2F">
      <w:pPr>
        <w:spacing w:before="120" w:after="120" w:line="240" w:lineRule="auto"/>
        <w:rPr>
          <w:rFonts w:ascii="Poppins" w:hAnsi="Poppins" w:cs="Poppins"/>
          <w:color w:val="212529"/>
          <w:sz w:val="21"/>
          <w:szCs w:val="21"/>
          <w:shd w:val="clear" w:color="auto" w:fill="FFFFFF"/>
        </w:rPr>
      </w:pPr>
      <w:r w:rsidRPr="00873C2F">
        <w:rPr>
          <w:rFonts w:ascii="Poppins" w:hAnsi="Poppins" w:cs="Poppins"/>
          <w:color w:val="212529"/>
          <w:sz w:val="21"/>
          <w:szCs w:val="21"/>
          <w:shd w:val="clear" w:color="auto" w:fill="FFFFFF"/>
        </w:rPr>
        <w:t xml:space="preserve">Szumnie zapowiadane ożywienie w segmencie infrastrukturalnym opóźnia się już o kilkanaście miesięcy, co powinno powodować presję na struktury decyzyjne państwa, które zdaniem ekspertów rynkowych jak dotąd zawodzą systemowo na całej linii nie tylko w ostatnich miesiącach. </w:t>
      </w:r>
      <w:r w:rsidR="009A6A88" w:rsidRPr="00873C2F">
        <w:rPr>
          <w:rFonts w:ascii="Poppins" w:hAnsi="Poppins" w:cs="Poppins"/>
          <w:color w:val="212529"/>
          <w:sz w:val="21"/>
          <w:szCs w:val="21"/>
          <w:shd w:val="clear" w:color="auto" w:fill="FFFFFF"/>
        </w:rPr>
        <w:t xml:space="preserve">Ostatnie załamanie notowań </w:t>
      </w:r>
      <w:proofErr w:type="spellStart"/>
      <w:r w:rsidR="009A6A88" w:rsidRPr="00873C2F">
        <w:rPr>
          <w:rFonts w:ascii="Poppins" w:hAnsi="Poppins" w:cs="Poppins"/>
          <w:color w:val="212529"/>
          <w:sz w:val="21"/>
          <w:szCs w:val="21"/>
          <w:shd w:val="clear" w:color="auto" w:fill="FFFFFF"/>
        </w:rPr>
        <w:t>Budimexu</w:t>
      </w:r>
      <w:proofErr w:type="spellEnd"/>
      <w:r w:rsidR="009A6A88" w:rsidRPr="00873C2F">
        <w:rPr>
          <w:rFonts w:ascii="Poppins" w:hAnsi="Poppins" w:cs="Poppins"/>
          <w:color w:val="212529"/>
          <w:sz w:val="21"/>
          <w:szCs w:val="21"/>
          <w:shd w:val="clear" w:color="auto" w:fill="FFFFFF"/>
        </w:rPr>
        <w:t xml:space="preserve"> może być wyraźnym sygnałem zbliżającej się dużymi krokami trwałej zapaści koniunkturalnej w rodzimej budowlance, o ile gremia rządowe nie podejmą stosownych działań już w najbliższej przyszłości.</w:t>
      </w:r>
    </w:p>
    <w:p w14:paraId="254B6A4F" w14:textId="77777777" w:rsidR="00CE4E2F" w:rsidRPr="00873C2F" w:rsidRDefault="00CE4E2F" w:rsidP="00CE4E2F">
      <w:pPr>
        <w:spacing w:before="120" w:after="120" w:line="240" w:lineRule="auto"/>
        <w:rPr>
          <w:rFonts w:ascii="Poppins" w:hAnsi="Poppins" w:cs="Poppins"/>
          <w:color w:val="212529"/>
          <w:sz w:val="21"/>
          <w:szCs w:val="21"/>
          <w:shd w:val="clear" w:color="auto" w:fill="FFFFFF"/>
        </w:rPr>
      </w:pPr>
    </w:p>
    <w:sectPr w:rsidR="00CE4E2F" w:rsidRPr="00873C2F" w:rsidSect="00060554">
      <w:headerReference w:type="default" r:id="rId10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87AC0" w14:textId="77777777" w:rsidR="00574D09" w:rsidRDefault="00574D09" w:rsidP="00E533BD">
      <w:pPr>
        <w:spacing w:after="0" w:line="240" w:lineRule="auto"/>
      </w:pPr>
      <w:r>
        <w:separator/>
      </w:r>
    </w:p>
  </w:endnote>
  <w:endnote w:type="continuationSeparator" w:id="0">
    <w:p w14:paraId="5845FB46" w14:textId="77777777" w:rsidR="00574D09" w:rsidRDefault="00574D09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74010" w14:textId="77777777" w:rsidR="00574D09" w:rsidRDefault="00574D09" w:rsidP="00E533BD">
      <w:pPr>
        <w:spacing w:after="0" w:line="240" w:lineRule="auto"/>
      </w:pPr>
      <w:r>
        <w:separator/>
      </w:r>
    </w:p>
  </w:footnote>
  <w:footnote w:type="continuationSeparator" w:id="0">
    <w:p w14:paraId="1D134A16" w14:textId="77777777" w:rsidR="00574D09" w:rsidRDefault="00574D09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E4A08"/>
    <w:multiLevelType w:val="multilevel"/>
    <w:tmpl w:val="363A9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ptos" w:eastAsia="Times New Roman" w:hAnsi="Aptos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2218E3"/>
    <w:multiLevelType w:val="hybridMultilevel"/>
    <w:tmpl w:val="EE7A4C46"/>
    <w:lvl w:ilvl="0" w:tplc="09B6F5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F4D86"/>
    <w:multiLevelType w:val="multilevel"/>
    <w:tmpl w:val="B24C9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ptos" w:eastAsia="Times New Roman" w:hAnsi="Aptos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0043884">
    <w:abstractNumId w:val="0"/>
  </w:num>
  <w:num w:numId="2" w16cid:durableId="1394499971">
    <w:abstractNumId w:val="2"/>
  </w:num>
  <w:num w:numId="3" w16cid:durableId="102120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61D9"/>
    <w:rsid w:val="00007E7C"/>
    <w:rsid w:val="00010B86"/>
    <w:rsid w:val="00015274"/>
    <w:rsid w:val="00016290"/>
    <w:rsid w:val="0002489E"/>
    <w:rsid w:val="00027E31"/>
    <w:rsid w:val="00031CC4"/>
    <w:rsid w:val="00044139"/>
    <w:rsid w:val="0005309C"/>
    <w:rsid w:val="00056AE5"/>
    <w:rsid w:val="00057F54"/>
    <w:rsid w:val="00060554"/>
    <w:rsid w:val="00060B43"/>
    <w:rsid w:val="00071AC1"/>
    <w:rsid w:val="00072860"/>
    <w:rsid w:val="00073F83"/>
    <w:rsid w:val="0007769A"/>
    <w:rsid w:val="000A29D3"/>
    <w:rsid w:val="000C2C30"/>
    <w:rsid w:val="000D5D39"/>
    <w:rsid w:val="000E0990"/>
    <w:rsid w:val="000F0B92"/>
    <w:rsid w:val="000F3AA4"/>
    <w:rsid w:val="000F51B6"/>
    <w:rsid w:val="000F7670"/>
    <w:rsid w:val="001003CF"/>
    <w:rsid w:val="00103CEB"/>
    <w:rsid w:val="001043A3"/>
    <w:rsid w:val="00106C6C"/>
    <w:rsid w:val="00123BF3"/>
    <w:rsid w:val="001467D0"/>
    <w:rsid w:val="00160B41"/>
    <w:rsid w:val="00171955"/>
    <w:rsid w:val="001721B4"/>
    <w:rsid w:val="00176DE5"/>
    <w:rsid w:val="00182A25"/>
    <w:rsid w:val="0018306C"/>
    <w:rsid w:val="00184ECE"/>
    <w:rsid w:val="00193531"/>
    <w:rsid w:val="00194693"/>
    <w:rsid w:val="00197DDC"/>
    <w:rsid w:val="001C3E2E"/>
    <w:rsid w:val="001D2AA4"/>
    <w:rsid w:val="001D2BE7"/>
    <w:rsid w:val="001F11FD"/>
    <w:rsid w:val="001F4C7B"/>
    <w:rsid w:val="001F74E9"/>
    <w:rsid w:val="002062BD"/>
    <w:rsid w:val="002163A3"/>
    <w:rsid w:val="00221624"/>
    <w:rsid w:val="00226E77"/>
    <w:rsid w:val="00232CED"/>
    <w:rsid w:val="002379C7"/>
    <w:rsid w:val="00253C52"/>
    <w:rsid w:val="00255A24"/>
    <w:rsid w:val="002565D9"/>
    <w:rsid w:val="0027120F"/>
    <w:rsid w:val="00272E12"/>
    <w:rsid w:val="00293F01"/>
    <w:rsid w:val="002A6046"/>
    <w:rsid w:val="002B2E52"/>
    <w:rsid w:val="002B6105"/>
    <w:rsid w:val="002C3A0A"/>
    <w:rsid w:val="002E6753"/>
    <w:rsid w:val="0030376C"/>
    <w:rsid w:val="00312511"/>
    <w:rsid w:val="0032038B"/>
    <w:rsid w:val="00320CFA"/>
    <w:rsid w:val="00331728"/>
    <w:rsid w:val="00332577"/>
    <w:rsid w:val="003336E6"/>
    <w:rsid w:val="0034109F"/>
    <w:rsid w:val="00357FA7"/>
    <w:rsid w:val="00360B53"/>
    <w:rsid w:val="00366950"/>
    <w:rsid w:val="00367682"/>
    <w:rsid w:val="0036796F"/>
    <w:rsid w:val="00370F36"/>
    <w:rsid w:val="003768E3"/>
    <w:rsid w:val="00382D22"/>
    <w:rsid w:val="00383EEE"/>
    <w:rsid w:val="0039417A"/>
    <w:rsid w:val="003A0D44"/>
    <w:rsid w:val="003A61D7"/>
    <w:rsid w:val="003C74F0"/>
    <w:rsid w:val="003D096C"/>
    <w:rsid w:val="003D28BE"/>
    <w:rsid w:val="003E024A"/>
    <w:rsid w:val="003E3911"/>
    <w:rsid w:val="003F4D95"/>
    <w:rsid w:val="004069F6"/>
    <w:rsid w:val="004107E4"/>
    <w:rsid w:val="00413C1F"/>
    <w:rsid w:val="00414F41"/>
    <w:rsid w:val="00415CFE"/>
    <w:rsid w:val="00442EBD"/>
    <w:rsid w:val="004438A2"/>
    <w:rsid w:val="00445E56"/>
    <w:rsid w:val="0045420A"/>
    <w:rsid w:val="00456757"/>
    <w:rsid w:val="0046256F"/>
    <w:rsid w:val="00471D4D"/>
    <w:rsid w:val="00482A60"/>
    <w:rsid w:val="004A2589"/>
    <w:rsid w:val="004B347E"/>
    <w:rsid w:val="004B34BB"/>
    <w:rsid w:val="004C322E"/>
    <w:rsid w:val="004C4395"/>
    <w:rsid w:val="004C5777"/>
    <w:rsid w:val="004F453C"/>
    <w:rsid w:val="004F50CE"/>
    <w:rsid w:val="00504683"/>
    <w:rsid w:val="005054D6"/>
    <w:rsid w:val="00507867"/>
    <w:rsid w:val="00507B27"/>
    <w:rsid w:val="005161BA"/>
    <w:rsid w:val="0052593E"/>
    <w:rsid w:val="005262D4"/>
    <w:rsid w:val="005329D7"/>
    <w:rsid w:val="0054268E"/>
    <w:rsid w:val="005428ED"/>
    <w:rsid w:val="00542D69"/>
    <w:rsid w:val="00545611"/>
    <w:rsid w:val="00553612"/>
    <w:rsid w:val="00553875"/>
    <w:rsid w:val="005554F6"/>
    <w:rsid w:val="00556268"/>
    <w:rsid w:val="00556F6D"/>
    <w:rsid w:val="00562815"/>
    <w:rsid w:val="005641A0"/>
    <w:rsid w:val="00565B3F"/>
    <w:rsid w:val="00571D71"/>
    <w:rsid w:val="00574D09"/>
    <w:rsid w:val="005756AC"/>
    <w:rsid w:val="0057620E"/>
    <w:rsid w:val="005767EF"/>
    <w:rsid w:val="00581858"/>
    <w:rsid w:val="00591996"/>
    <w:rsid w:val="005920C9"/>
    <w:rsid w:val="00595106"/>
    <w:rsid w:val="00597EB4"/>
    <w:rsid w:val="005A171E"/>
    <w:rsid w:val="005A318B"/>
    <w:rsid w:val="005A5BE8"/>
    <w:rsid w:val="005B4A77"/>
    <w:rsid w:val="005B6EC7"/>
    <w:rsid w:val="005D03E9"/>
    <w:rsid w:val="005D149B"/>
    <w:rsid w:val="005D60E5"/>
    <w:rsid w:val="005D6660"/>
    <w:rsid w:val="005D72F5"/>
    <w:rsid w:val="005D7F63"/>
    <w:rsid w:val="005E154B"/>
    <w:rsid w:val="005E364A"/>
    <w:rsid w:val="005F561B"/>
    <w:rsid w:val="005F5887"/>
    <w:rsid w:val="006170B5"/>
    <w:rsid w:val="00637BDE"/>
    <w:rsid w:val="0065062C"/>
    <w:rsid w:val="00655E69"/>
    <w:rsid w:val="006575E9"/>
    <w:rsid w:val="00660A71"/>
    <w:rsid w:val="0066231E"/>
    <w:rsid w:val="006902AE"/>
    <w:rsid w:val="00693D0A"/>
    <w:rsid w:val="0069748F"/>
    <w:rsid w:val="006A6C3D"/>
    <w:rsid w:val="006B57CA"/>
    <w:rsid w:val="006B63E5"/>
    <w:rsid w:val="006C07E3"/>
    <w:rsid w:val="006D1A53"/>
    <w:rsid w:val="006D638E"/>
    <w:rsid w:val="006E144D"/>
    <w:rsid w:val="006E194D"/>
    <w:rsid w:val="006F0A66"/>
    <w:rsid w:val="006F0DC2"/>
    <w:rsid w:val="006F1831"/>
    <w:rsid w:val="00703928"/>
    <w:rsid w:val="007124B4"/>
    <w:rsid w:val="0071427E"/>
    <w:rsid w:val="007444A9"/>
    <w:rsid w:val="007465BD"/>
    <w:rsid w:val="007738A9"/>
    <w:rsid w:val="00782C3E"/>
    <w:rsid w:val="00793B7D"/>
    <w:rsid w:val="007955FF"/>
    <w:rsid w:val="007A6B21"/>
    <w:rsid w:val="007C05D6"/>
    <w:rsid w:val="007D1C5B"/>
    <w:rsid w:val="007D2716"/>
    <w:rsid w:val="007E3768"/>
    <w:rsid w:val="00801EEA"/>
    <w:rsid w:val="00804FCD"/>
    <w:rsid w:val="00825AD9"/>
    <w:rsid w:val="008265FD"/>
    <w:rsid w:val="00836B91"/>
    <w:rsid w:val="00855A73"/>
    <w:rsid w:val="0086104D"/>
    <w:rsid w:val="00861581"/>
    <w:rsid w:val="00873C2F"/>
    <w:rsid w:val="008847A8"/>
    <w:rsid w:val="00884A9A"/>
    <w:rsid w:val="008903F0"/>
    <w:rsid w:val="008A0725"/>
    <w:rsid w:val="008A109B"/>
    <w:rsid w:val="008A7207"/>
    <w:rsid w:val="008A7868"/>
    <w:rsid w:val="008C4684"/>
    <w:rsid w:val="008C55BD"/>
    <w:rsid w:val="008D612D"/>
    <w:rsid w:val="008D750B"/>
    <w:rsid w:val="008E239F"/>
    <w:rsid w:val="008F61F4"/>
    <w:rsid w:val="008F7B1C"/>
    <w:rsid w:val="0091278B"/>
    <w:rsid w:val="009232E8"/>
    <w:rsid w:val="0092726C"/>
    <w:rsid w:val="009325A0"/>
    <w:rsid w:val="0093718E"/>
    <w:rsid w:val="00964073"/>
    <w:rsid w:val="00967D21"/>
    <w:rsid w:val="0097467B"/>
    <w:rsid w:val="00980C25"/>
    <w:rsid w:val="0098135A"/>
    <w:rsid w:val="0098184C"/>
    <w:rsid w:val="0098333B"/>
    <w:rsid w:val="00990AA6"/>
    <w:rsid w:val="009A324B"/>
    <w:rsid w:val="009A3D85"/>
    <w:rsid w:val="009A4AA4"/>
    <w:rsid w:val="009A6A88"/>
    <w:rsid w:val="009B37BF"/>
    <w:rsid w:val="009C0ACF"/>
    <w:rsid w:val="009C2310"/>
    <w:rsid w:val="009C234B"/>
    <w:rsid w:val="009C44C2"/>
    <w:rsid w:val="009D1EA9"/>
    <w:rsid w:val="009D79D5"/>
    <w:rsid w:val="009F1466"/>
    <w:rsid w:val="00A0126E"/>
    <w:rsid w:val="00A03012"/>
    <w:rsid w:val="00A135FE"/>
    <w:rsid w:val="00A17D1B"/>
    <w:rsid w:val="00A205D6"/>
    <w:rsid w:val="00A24093"/>
    <w:rsid w:val="00A24645"/>
    <w:rsid w:val="00A4731E"/>
    <w:rsid w:val="00A547BE"/>
    <w:rsid w:val="00A56598"/>
    <w:rsid w:val="00A64C0A"/>
    <w:rsid w:val="00A65F08"/>
    <w:rsid w:val="00A74FA9"/>
    <w:rsid w:val="00A85C7B"/>
    <w:rsid w:val="00A90FB0"/>
    <w:rsid w:val="00AA3579"/>
    <w:rsid w:val="00AA6DB4"/>
    <w:rsid w:val="00AB7B01"/>
    <w:rsid w:val="00AD0B83"/>
    <w:rsid w:val="00AD626F"/>
    <w:rsid w:val="00AD7D92"/>
    <w:rsid w:val="00AE32CC"/>
    <w:rsid w:val="00AF182F"/>
    <w:rsid w:val="00AF5A96"/>
    <w:rsid w:val="00B141B2"/>
    <w:rsid w:val="00B17444"/>
    <w:rsid w:val="00B334C3"/>
    <w:rsid w:val="00B33F85"/>
    <w:rsid w:val="00B42848"/>
    <w:rsid w:val="00B430F1"/>
    <w:rsid w:val="00B44BB6"/>
    <w:rsid w:val="00B46237"/>
    <w:rsid w:val="00B5206E"/>
    <w:rsid w:val="00B5353F"/>
    <w:rsid w:val="00B63867"/>
    <w:rsid w:val="00B6641D"/>
    <w:rsid w:val="00B675F4"/>
    <w:rsid w:val="00B75BD0"/>
    <w:rsid w:val="00B7668A"/>
    <w:rsid w:val="00B80738"/>
    <w:rsid w:val="00B90C5F"/>
    <w:rsid w:val="00B95EC5"/>
    <w:rsid w:val="00BA1EA1"/>
    <w:rsid w:val="00BA48E5"/>
    <w:rsid w:val="00BA4AE2"/>
    <w:rsid w:val="00BB4016"/>
    <w:rsid w:val="00BB6314"/>
    <w:rsid w:val="00BD2F4F"/>
    <w:rsid w:val="00BE548A"/>
    <w:rsid w:val="00BE734D"/>
    <w:rsid w:val="00BE7A24"/>
    <w:rsid w:val="00BF1B14"/>
    <w:rsid w:val="00BF285E"/>
    <w:rsid w:val="00BF2F46"/>
    <w:rsid w:val="00BF4C0B"/>
    <w:rsid w:val="00BF6DC6"/>
    <w:rsid w:val="00C00489"/>
    <w:rsid w:val="00C05921"/>
    <w:rsid w:val="00C12248"/>
    <w:rsid w:val="00C35B7E"/>
    <w:rsid w:val="00C50A12"/>
    <w:rsid w:val="00C7467E"/>
    <w:rsid w:val="00C82746"/>
    <w:rsid w:val="00CA33AD"/>
    <w:rsid w:val="00CA417C"/>
    <w:rsid w:val="00CB7C00"/>
    <w:rsid w:val="00CC024E"/>
    <w:rsid w:val="00CC0693"/>
    <w:rsid w:val="00CC5797"/>
    <w:rsid w:val="00CD15B5"/>
    <w:rsid w:val="00CE4E2F"/>
    <w:rsid w:val="00CF036B"/>
    <w:rsid w:val="00CF3EF4"/>
    <w:rsid w:val="00D061AE"/>
    <w:rsid w:val="00D1044B"/>
    <w:rsid w:val="00D21433"/>
    <w:rsid w:val="00D3042F"/>
    <w:rsid w:val="00D320B2"/>
    <w:rsid w:val="00D3312D"/>
    <w:rsid w:val="00D3424A"/>
    <w:rsid w:val="00D40187"/>
    <w:rsid w:val="00D425A4"/>
    <w:rsid w:val="00D455CB"/>
    <w:rsid w:val="00D54A80"/>
    <w:rsid w:val="00D54F27"/>
    <w:rsid w:val="00D56A8C"/>
    <w:rsid w:val="00D61344"/>
    <w:rsid w:val="00D61549"/>
    <w:rsid w:val="00D67FE6"/>
    <w:rsid w:val="00D74D45"/>
    <w:rsid w:val="00D764E5"/>
    <w:rsid w:val="00DA0E39"/>
    <w:rsid w:val="00DA494D"/>
    <w:rsid w:val="00DA72F4"/>
    <w:rsid w:val="00DA7D8F"/>
    <w:rsid w:val="00DB2751"/>
    <w:rsid w:val="00DB60A0"/>
    <w:rsid w:val="00DB639D"/>
    <w:rsid w:val="00DC1870"/>
    <w:rsid w:val="00DD42EE"/>
    <w:rsid w:val="00DD57D9"/>
    <w:rsid w:val="00DD6A44"/>
    <w:rsid w:val="00DE1753"/>
    <w:rsid w:val="00DF07FB"/>
    <w:rsid w:val="00E12093"/>
    <w:rsid w:val="00E25AAC"/>
    <w:rsid w:val="00E32A58"/>
    <w:rsid w:val="00E32F03"/>
    <w:rsid w:val="00E35B28"/>
    <w:rsid w:val="00E3719E"/>
    <w:rsid w:val="00E440F2"/>
    <w:rsid w:val="00E50D6D"/>
    <w:rsid w:val="00E533BD"/>
    <w:rsid w:val="00E64272"/>
    <w:rsid w:val="00E73303"/>
    <w:rsid w:val="00E84E26"/>
    <w:rsid w:val="00EA18AB"/>
    <w:rsid w:val="00EA269B"/>
    <w:rsid w:val="00EC10B9"/>
    <w:rsid w:val="00EC3714"/>
    <w:rsid w:val="00EC5BB4"/>
    <w:rsid w:val="00EC78B9"/>
    <w:rsid w:val="00ED61B2"/>
    <w:rsid w:val="00ED6CE9"/>
    <w:rsid w:val="00ED7A96"/>
    <w:rsid w:val="00EE00BB"/>
    <w:rsid w:val="00EE0B22"/>
    <w:rsid w:val="00EE5EF2"/>
    <w:rsid w:val="00EF2044"/>
    <w:rsid w:val="00F06678"/>
    <w:rsid w:val="00F121DB"/>
    <w:rsid w:val="00F20400"/>
    <w:rsid w:val="00F21411"/>
    <w:rsid w:val="00F22FB4"/>
    <w:rsid w:val="00F2311C"/>
    <w:rsid w:val="00F27BE9"/>
    <w:rsid w:val="00F368D5"/>
    <w:rsid w:val="00F52BC1"/>
    <w:rsid w:val="00F60C6C"/>
    <w:rsid w:val="00F658E2"/>
    <w:rsid w:val="00F71098"/>
    <w:rsid w:val="00F74C4F"/>
    <w:rsid w:val="00F77822"/>
    <w:rsid w:val="00F9538E"/>
    <w:rsid w:val="00F97168"/>
    <w:rsid w:val="00FA12A3"/>
    <w:rsid w:val="00FA42CC"/>
    <w:rsid w:val="00FB1774"/>
    <w:rsid w:val="00FB7A20"/>
    <w:rsid w:val="00FC666B"/>
    <w:rsid w:val="00FD5C22"/>
    <w:rsid w:val="00FF1AE0"/>
    <w:rsid w:val="00FF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semiHidden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467D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D09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Mikołaj Ostrowski</cp:lastModifiedBy>
  <cp:revision>22</cp:revision>
  <cp:lastPrinted>2022-08-09T11:51:00Z</cp:lastPrinted>
  <dcterms:created xsi:type="dcterms:W3CDTF">2025-07-31T10:59:00Z</dcterms:created>
  <dcterms:modified xsi:type="dcterms:W3CDTF">2025-08-01T08:23:00Z</dcterms:modified>
</cp:coreProperties>
</file>