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5F3D" w14:textId="31C2E815" w:rsidR="00D548FD" w:rsidRPr="006170B5" w:rsidRDefault="00D548FD" w:rsidP="00D548FD">
      <w:pPr>
        <w:jc w:val="right"/>
        <w:rPr>
          <w:rFonts w:ascii="Poppins" w:hAnsi="Poppins" w:cs="Poppins"/>
          <w:sz w:val="20"/>
          <w:szCs w:val="20"/>
        </w:rPr>
      </w:pPr>
      <w:r w:rsidRPr="00FC48CA">
        <w:rPr>
          <w:rFonts w:ascii="Poppins" w:hAnsi="Poppins" w:cs="Poppins"/>
          <w:sz w:val="20"/>
          <w:szCs w:val="20"/>
        </w:rPr>
        <w:t xml:space="preserve">Warszawa, </w:t>
      </w:r>
      <w:r w:rsidR="00FC48CA" w:rsidRPr="00FC48CA">
        <w:rPr>
          <w:rFonts w:ascii="Poppins" w:hAnsi="Poppins" w:cs="Poppins"/>
          <w:sz w:val="20"/>
          <w:szCs w:val="20"/>
        </w:rPr>
        <w:t>2</w:t>
      </w:r>
      <w:r w:rsidR="006422B3">
        <w:rPr>
          <w:rFonts w:ascii="Poppins" w:hAnsi="Poppins" w:cs="Poppins"/>
          <w:sz w:val="20"/>
          <w:szCs w:val="20"/>
        </w:rPr>
        <w:t>4</w:t>
      </w:r>
      <w:r w:rsidRPr="00FC48CA">
        <w:rPr>
          <w:rFonts w:ascii="Poppins" w:hAnsi="Poppins" w:cs="Poppins"/>
          <w:sz w:val="20"/>
          <w:szCs w:val="20"/>
        </w:rPr>
        <w:t>.</w:t>
      </w:r>
      <w:r w:rsidR="00F44F0A" w:rsidRPr="00FC48CA">
        <w:rPr>
          <w:rFonts w:ascii="Poppins" w:hAnsi="Poppins" w:cs="Poppins"/>
          <w:sz w:val="20"/>
          <w:szCs w:val="20"/>
        </w:rPr>
        <w:t>0</w:t>
      </w:r>
      <w:r w:rsidR="003B179A" w:rsidRPr="00FC48CA">
        <w:rPr>
          <w:rFonts w:ascii="Poppins" w:hAnsi="Poppins" w:cs="Poppins"/>
          <w:sz w:val="20"/>
          <w:szCs w:val="20"/>
        </w:rPr>
        <w:t>7</w:t>
      </w:r>
      <w:r w:rsidR="001F3DCC" w:rsidRPr="00FC48CA">
        <w:rPr>
          <w:rFonts w:ascii="Poppins" w:hAnsi="Poppins" w:cs="Poppins"/>
          <w:sz w:val="20"/>
          <w:szCs w:val="20"/>
        </w:rPr>
        <w:t>.</w:t>
      </w:r>
      <w:r w:rsidRPr="00FC48CA">
        <w:rPr>
          <w:rFonts w:ascii="Poppins" w:hAnsi="Poppins" w:cs="Poppins"/>
          <w:sz w:val="20"/>
          <w:szCs w:val="20"/>
        </w:rPr>
        <w:t>202</w:t>
      </w:r>
      <w:r w:rsidR="002116F1" w:rsidRPr="00FC48CA">
        <w:rPr>
          <w:rFonts w:ascii="Poppins" w:hAnsi="Poppins" w:cs="Poppins"/>
          <w:sz w:val="20"/>
          <w:szCs w:val="20"/>
        </w:rPr>
        <w:t>5</w:t>
      </w:r>
      <w:r w:rsidRPr="00FC48CA">
        <w:rPr>
          <w:rFonts w:ascii="Poppins" w:hAnsi="Poppins" w:cs="Poppins"/>
          <w:sz w:val="20"/>
          <w:szCs w:val="20"/>
        </w:rPr>
        <w:t xml:space="preserve"> r.</w:t>
      </w:r>
    </w:p>
    <w:p w14:paraId="34156D4B" w14:textId="1D4E289A" w:rsidR="00A31C8C" w:rsidRDefault="00D548FD" w:rsidP="009E43F6">
      <w:pPr>
        <w:rPr>
          <w:rFonts w:ascii="Poppins" w:hAnsi="Poppins" w:cs="Poppins"/>
          <w:sz w:val="24"/>
          <w:szCs w:val="24"/>
        </w:rPr>
      </w:pPr>
      <w:r w:rsidRPr="00293F01">
        <w:rPr>
          <w:rFonts w:ascii="Poppins" w:hAnsi="Poppins" w:cs="Poppins"/>
          <w:sz w:val="24"/>
          <w:szCs w:val="24"/>
        </w:rPr>
        <w:t xml:space="preserve">Autor: </w:t>
      </w:r>
      <w:hyperlink r:id="rId8" w:history="1">
        <w:r w:rsidRPr="00434143">
          <w:rPr>
            <w:rStyle w:val="Hipercze"/>
            <w:rFonts w:ascii="Poppins" w:hAnsi="Poppins" w:cs="Poppins"/>
            <w:sz w:val="24"/>
            <w:szCs w:val="24"/>
          </w:rPr>
          <w:t>RynekPierwotny.pl</w:t>
        </w:r>
      </w:hyperlink>
    </w:p>
    <w:p w14:paraId="31494BEC" w14:textId="77777777" w:rsidR="006422B3" w:rsidRPr="006422B3" w:rsidRDefault="006422B3" w:rsidP="006422B3">
      <w:pPr>
        <w:spacing w:before="280" w:after="120" w:line="240" w:lineRule="auto"/>
        <w:jc w:val="center"/>
        <w:outlineLvl w:val="1"/>
        <w:rPr>
          <w:rFonts w:ascii="Times New Roman" w:eastAsia="Times New Roman" w:hAnsi="Times New Roman"/>
          <w:b/>
          <w:bCs/>
          <w:sz w:val="32"/>
          <w:szCs w:val="32"/>
          <w:lang w:eastAsia="pl-PL"/>
        </w:rPr>
      </w:pPr>
      <w:r w:rsidRPr="006422B3">
        <w:rPr>
          <w:rFonts w:ascii="Poppins" w:eastAsia="Times New Roman" w:hAnsi="Poppins" w:cs="Poppins"/>
          <w:b/>
          <w:bCs/>
          <w:color w:val="000000"/>
          <w:sz w:val="32"/>
          <w:szCs w:val="32"/>
          <w:lang w:eastAsia="pl-PL"/>
        </w:rPr>
        <w:t>Co przyniosło I półrocze 2025 dla deweloperów mieszkaniowych? [SONDA]</w:t>
      </w:r>
    </w:p>
    <w:p w14:paraId="63F25E25" w14:textId="61C3AE80" w:rsidR="006422B3" w:rsidRPr="006422B3" w:rsidRDefault="006422B3" w:rsidP="006422B3">
      <w:pPr>
        <w:spacing w:before="240" w:after="240" w:line="240" w:lineRule="auto"/>
        <w:jc w:val="both"/>
        <w:outlineLvl w:val="1"/>
        <w:rPr>
          <w:rFonts w:ascii="Times New Roman" w:eastAsia="Times New Roman" w:hAnsi="Times New Roman"/>
          <w:b/>
          <w:bCs/>
          <w:lang w:eastAsia="pl-PL"/>
        </w:rPr>
      </w:pPr>
      <w:r w:rsidRPr="006422B3">
        <w:rPr>
          <w:rFonts w:ascii="Poppins" w:eastAsia="Times New Roman" w:hAnsi="Poppins" w:cs="Poppins"/>
          <w:b/>
          <w:bCs/>
          <w:color w:val="000000"/>
          <w:lang w:eastAsia="pl-PL"/>
        </w:rPr>
        <w:t xml:space="preserve">Pierwsze sześć miesięcy tego roku to okres, w którym deweloperzy mierzyli się nie tylko z wysokimi kosztami kredytów i ostrożnością kupujących, ale też </w:t>
      </w:r>
      <w:r w:rsidR="008B5CCF" w:rsidRPr="005F135D">
        <w:rPr>
          <w:rFonts w:ascii="Poppins" w:eastAsia="Times New Roman" w:hAnsi="Poppins" w:cs="Poppins"/>
          <w:b/>
          <w:bCs/>
          <w:color w:val="000000"/>
          <w:lang w:eastAsia="pl-PL"/>
        </w:rPr>
        <w:t>przygotowywali się do</w:t>
      </w:r>
      <w:r w:rsidRPr="006422B3">
        <w:rPr>
          <w:rFonts w:ascii="Poppins" w:eastAsia="Times New Roman" w:hAnsi="Poppins" w:cs="Poppins"/>
          <w:b/>
          <w:bCs/>
          <w:color w:val="000000"/>
          <w:lang w:eastAsia="pl-PL"/>
        </w:rPr>
        <w:t xml:space="preserve"> nowy</w:t>
      </w:r>
      <w:r w:rsidR="008B5CCF" w:rsidRPr="005F135D">
        <w:rPr>
          <w:rFonts w:ascii="Poppins" w:eastAsia="Times New Roman" w:hAnsi="Poppins" w:cs="Poppins"/>
          <w:b/>
          <w:bCs/>
          <w:color w:val="000000"/>
          <w:lang w:eastAsia="pl-PL"/>
        </w:rPr>
        <w:t>ch</w:t>
      </w:r>
      <w:r w:rsidRPr="006422B3">
        <w:rPr>
          <w:rFonts w:ascii="Poppins" w:eastAsia="Times New Roman" w:hAnsi="Poppins" w:cs="Poppins"/>
          <w:b/>
          <w:bCs/>
          <w:color w:val="000000"/>
          <w:lang w:eastAsia="pl-PL"/>
        </w:rPr>
        <w:t xml:space="preserve"> regulacj</w:t>
      </w:r>
      <w:r w:rsidR="008B5CCF" w:rsidRPr="005F135D">
        <w:rPr>
          <w:rFonts w:ascii="Poppins" w:eastAsia="Times New Roman" w:hAnsi="Poppins" w:cs="Poppins"/>
          <w:b/>
          <w:bCs/>
          <w:color w:val="000000"/>
          <w:lang w:eastAsia="pl-PL"/>
        </w:rPr>
        <w:t>i</w:t>
      </w:r>
      <w:r w:rsidRPr="006422B3">
        <w:rPr>
          <w:rFonts w:ascii="Poppins" w:eastAsia="Times New Roman" w:hAnsi="Poppins" w:cs="Poppins"/>
          <w:b/>
          <w:bCs/>
          <w:color w:val="000000"/>
          <w:lang w:eastAsia="pl-PL"/>
        </w:rPr>
        <w:t xml:space="preserve"> i zmian</w:t>
      </w:r>
      <w:r w:rsidR="008B5CCF" w:rsidRPr="005F135D">
        <w:rPr>
          <w:rFonts w:ascii="Poppins" w:eastAsia="Times New Roman" w:hAnsi="Poppins" w:cs="Poppins"/>
          <w:b/>
          <w:bCs/>
          <w:color w:val="000000"/>
          <w:lang w:eastAsia="pl-PL"/>
        </w:rPr>
        <w:t>y</w:t>
      </w:r>
      <w:r w:rsidRPr="006422B3">
        <w:rPr>
          <w:rFonts w:ascii="Poppins" w:eastAsia="Times New Roman" w:hAnsi="Poppins" w:cs="Poppins"/>
          <w:b/>
          <w:bCs/>
          <w:color w:val="000000"/>
          <w:lang w:eastAsia="pl-PL"/>
        </w:rPr>
        <w:t xml:space="preserve"> strategii popytowej. Portal </w:t>
      </w:r>
      <w:hyperlink r:id="rId9" w:history="1">
        <w:r w:rsidRPr="006422B3">
          <w:rPr>
            <w:rStyle w:val="Hipercze"/>
            <w:rFonts w:ascii="Poppins" w:eastAsia="Times New Roman" w:hAnsi="Poppins" w:cs="Poppins"/>
            <w:b/>
            <w:bCs/>
            <w:lang w:eastAsia="pl-PL"/>
          </w:rPr>
          <w:t>RynekPierwotny.pl</w:t>
        </w:r>
      </w:hyperlink>
      <w:r w:rsidR="008B5CCF" w:rsidRPr="005F135D">
        <w:rPr>
          <w:rFonts w:ascii="Poppins" w:eastAsia="Times New Roman" w:hAnsi="Poppins" w:cs="Poppins"/>
          <w:b/>
          <w:bCs/>
          <w:color w:val="000000"/>
          <w:lang w:eastAsia="pl-PL"/>
        </w:rPr>
        <w:t xml:space="preserve"> </w:t>
      </w:r>
      <w:r w:rsidRPr="006422B3">
        <w:rPr>
          <w:rFonts w:ascii="Poppins" w:eastAsia="Times New Roman" w:hAnsi="Poppins" w:cs="Poppins"/>
          <w:b/>
          <w:bCs/>
          <w:color w:val="000000"/>
          <w:lang w:eastAsia="pl-PL"/>
        </w:rPr>
        <w:t>zapytał przedstawicieli największych firm deweloperskich o bilans pierwszego półrocza 2025 i ich spojrzenie na nadchodzące miesiące. Czy drugie półrocze przyniesie długo wyczekiwane odbicie?</w:t>
      </w:r>
    </w:p>
    <w:p w14:paraId="6412A13C" w14:textId="77777777" w:rsidR="006422B3" w:rsidRPr="006422B3" w:rsidRDefault="006422B3" w:rsidP="006422B3">
      <w:pPr>
        <w:spacing w:after="0" w:line="240" w:lineRule="auto"/>
        <w:rPr>
          <w:rFonts w:ascii="Times New Roman" w:eastAsia="Times New Roman" w:hAnsi="Times New Roman"/>
          <w:sz w:val="24"/>
          <w:szCs w:val="24"/>
          <w:lang w:eastAsia="pl-PL"/>
        </w:rPr>
      </w:pPr>
    </w:p>
    <w:p w14:paraId="6F85726B"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b/>
          <w:bCs/>
          <w:lang w:eastAsia="pl-PL"/>
        </w:rPr>
        <w:t>Andrzej Gutowski, Dyrektor Sprzedaży RONSON Development</w:t>
      </w:r>
    </w:p>
    <w:p w14:paraId="6D835E9E"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p>
    <w:p w14:paraId="63D1B507"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Dwa pierwsze kwartały 2025 roku cechowały się zbliżoną, stabilną sytuacją na rynku mieszkaniowym. Rynek pozostawał spokojny, bez gwałtownych zmian, a sprzedaż utrzymywała się na stabilnym poziomie. W RONSON Development w tym okresie sprzedaliśmy łącznie 183 lokale – 96 w pierwszym kwartale oraz 87 w drugim. Klientom przekazaliśmy blisko 400 mieszkań.</w:t>
      </w:r>
    </w:p>
    <w:p w14:paraId="7F1AC174"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w:t>
      </w:r>
    </w:p>
    <w:p w14:paraId="407C7F45"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Prowadziliśmy odpowiedzialną politykę sprzedażową, jednocześnie przygotowując się na możliwe ożywienie koniunktury. Coraz częściej pojawiające się prognozy dotyczące obniżek stóp procentowych – które rzeczywiście miały miejsce w drugim kwartale – stały się dla nas impulsem do zwiększenia aktywności inwestycyjnej. W odpowiedzi na te sygnały, uruchamiamy nowe projekty mieszkaniowe we Wrocławiu, Poznaniu oraz Szczecinie. </w:t>
      </w:r>
    </w:p>
    <w:p w14:paraId="2B6F4754"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w:t>
      </w:r>
    </w:p>
    <w:p w14:paraId="671018D0" w14:textId="74A1D1CB"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b/>
          <w:bCs/>
          <w:lang w:eastAsia="pl-PL"/>
        </w:rPr>
        <w:t>Marcin Michalec, COO OKAM</w:t>
      </w:r>
    </w:p>
    <w:p w14:paraId="6F94BF59" w14:textId="2A5DB758" w:rsidR="006422B3" w:rsidRPr="005F135D" w:rsidRDefault="005F135D" w:rsidP="006422B3">
      <w:pPr>
        <w:shd w:val="clear" w:color="auto" w:fill="FFFFFF"/>
        <w:spacing w:after="0" w:line="240" w:lineRule="auto"/>
        <w:jc w:val="both"/>
        <w:rPr>
          <w:rFonts w:ascii="Poppins" w:eastAsia="Times New Roman" w:hAnsi="Poppins" w:cs="Poppins"/>
          <w:lang w:eastAsia="pl-PL"/>
        </w:rPr>
      </w:pPr>
      <w:r w:rsidRPr="005F135D">
        <w:rPr>
          <w:rFonts w:ascii="Poppins" w:eastAsia="Times New Roman" w:hAnsi="Poppins" w:cs="Poppins"/>
          <w:lang w:eastAsia="pl-PL"/>
        </w:rPr>
        <w:br/>
      </w:r>
      <w:r w:rsidR="006422B3" w:rsidRPr="006422B3">
        <w:rPr>
          <w:rFonts w:ascii="Poppins" w:eastAsia="Times New Roman" w:hAnsi="Poppins" w:cs="Poppins"/>
          <w:lang w:eastAsia="pl-PL"/>
        </w:rPr>
        <w:t xml:space="preserve">Stabilizacja cen i rekordowa podaż – to dwie charakterystyczne cechy polskiego rynku nieruchomości mieszkaniowych w H1 2025 roku. W dużych miastach liczba wprowadzonych na rynek mieszkań osiągnęła historyczne poziomy. Z kolei długo wyczekiwana, majowa obniżka stóp procentowych i spadek stawek WIBOR pobudziły ruch w biurach sprzedaży, co zauważyliśmy także w OKAM. Kredyty hipoteczne wciąż pozostają jednak trudnodostępne dla wielu Polaków, a obniżka była zbyt mała, by znacząco wpłynąć na sprzedaż. Natomiast rosnące wynagrodzenia i lipcowa obniżka stóp procentowych przez RPP sugerują wzrost popytu w II połowie roku. Spodziewamy się też dalszej stabilizacji </w:t>
      </w:r>
      <w:hyperlink r:id="rId10" w:history="1">
        <w:r w:rsidR="006422B3" w:rsidRPr="006422B3">
          <w:rPr>
            <w:rStyle w:val="Hipercze"/>
            <w:rFonts w:ascii="Poppins" w:eastAsia="Times New Roman" w:hAnsi="Poppins" w:cs="Poppins"/>
            <w:color w:val="auto"/>
            <w:lang w:eastAsia="pl-PL"/>
          </w:rPr>
          <w:t>cen mieszkań</w:t>
        </w:r>
      </w:hyperlink>
      <w:r w:rsidR="006422B3" w:rsidRPr="006422B3">
        <w:rPr>
          <w:rFonts w:ascii="Poppins" w:eastAsia="Times New Roman" w:hAnsi="Poppins" w:cs="Poppins"/>
          <w:lang w:eastAsia="pl-PL"/>
        </w:rPr>
        <w:t>. </w:t>
      </w:r>
    </w:p>
    <w:p w14:paraId="75279581"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p>
    <w:p w14:paraId="387DA6BA" w14:textId="77777777" w:rsidR="006422B3" w:rsidRPr="005F135D" w:rsidRDefault="006422B3" w:rsidP="006422B3">
      <w:pPr>
        <w:shd w:val="clear" w:color="auto" w:fill="FFFFFF"/>
        <w:spacing w:after="0" w:line="240" w:lineRule="auto"/>
        <w:jc w:val="both"/>
        <w:rPr>
          <w:rFonts w:ascii="Poppins" w:eastAsia="Times New Roman" w:hAnsi="Poppins" w:cs="Poppins"/>
          <w:lang w:eastAsia="pl-PL"/>
        </w:rPr>
      </w:pPr>
      <w:r w:rsidRPr="006422B3">
        <w:rPr>
          <w:rFonts w:ascii="Poppins" w:eastAsia="Times New Roman" w:hAnsi="Poppins" w:cs="Poppins"/>
          <w:lang w:eastAsia="pl-PL"/>
        </w:rPr>
        <w:t>W H1 2025 OKAM oddał do użytku 331 mieszkań w I etapie inwestycji CITYFLOW na warszawskiej Woli. Kontynuujemy też realizację II etapu tego osiedla, w którym powstanie 416 mieszkań. W Warszawie na ukończeniu jest również ostatni etap inwestycji BOHEMA – Strefa Praga, czyli budynek Warzelni, gdzie dostępne są jeszcze ostatnie lofty.</w:t>
      </w:r>
    </w:p>
    <w:p w14:paraId="21DA836D"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p>
    <w:p w14:paraId="47720EE7" w14:textId="77777777" w:rsidR="006422B3" w:rsidRPr="005F135D" w:rsidRDefault="006422B3" w:rsidP="006422B3">
      <w:pPr>
        <w:shd w:val="clear" w:color="auto" w:fill="FFFFFF"/>
        <w:spacing w:after="0" w:line="240" w:lineRule="auto"/>
        <w:jc w:val="both"/>
        <w:rPr>
          <w:rFonts w:ascii="Poppins" w:eastAsia="Times New Roman" w:hAnsi="Poppins" w:cs="Poppins"/>
          <w:lang w:eastAsia="pl-PL"/>
        </w:rPr>
      </w:pPr>
      <w:r w:rsidRPr="006422B3">
        <w:rPr>
          <w:rFonts w:ascii="Poppins" w:eastAsia="Times New Roman" w:hAnsi="Poppins" w:cs="Poppins"/>
          <w:lang w:eastAsia="pl-PL"/>
        </w:rPr>
        <w:t>W drugiej połowie roku OKAM skupi się na kontynuacji trwających budów. W Łodzi na końcowym etapie jest inwestycja NOW, w której powstaje 346 mieszkań, a w Katowicach w ramach III etapu projektu INSPIRE budowane są 183 mieszkania. Przygotowujemy się także do uruchomienia naszej największej inwestycji – F.S.O. PARK. I etap obejmie ok. 2050 mieszkań. Planujemy też rewitalizację zabytkowego budynku przy ul. Przędzalnianej w Łodzi pod nowy model biznesowy skierowany do seniorów.</w:t>
      </w:r>
    </w:p>
    <w:p w14:paraId="30C52216" w14:textId="2DEE3089" w:rsidR="005F135D" w:rsidRPr="006422B3" w:rsidRDefault="005F135D" w:rsidP="005F135D">
      <w:pPr>
        <w:spacing w:line="240" w:lineRule="auto"/>
        <w:jc w:val="both"/>
        <w:rPr>
          <w:rFonts w:ascii="Times New Roman" w:eastAsia="Times New Roman" w:hAnsi="Times New Roman"/>
          <w:sz w:val="24"/>
          <w:szCs w:val="24"/>
          <w:lang w:eastAsia="pl-PL"/>
        </w:rPr>
      </w:pPr>
      <w:r w:rsidRPr="005F135D">
        <w:rPr>
          <w:rFonts w:ascii="Poppins" w:eastAsia="Times New Roman" w:hAnsi="Poppins" w:cs="Poppins"/>
          <w:lang w:eastAsia="pl-PL"/>
        </w:rPr>
        <w:br/>
      </w:r>
      <w:r w:rsidRPr="006422B3">
        <w:rPr>
          <w:rFonts w:ascii="Poppins" w:eastAsia="Times New Roman" w:hAnsi="Poppins" w:cs="Poppins"/>
          <w:b/>
          <w:bCs/>
          <w:lang w:eastAsia="pl-PL"/>
        </w:rPr>
        <w:t>Mikołaj Konopka, Prezes Zarządu Dom Development S.A.</w:t>
      </w:r>
    </w:p>
    <w:p w14:paraId="15B969E1" w14:textId="77777777" w:rsidR="005F135D" w:rsidRPr="006422B3" w:rsidRDefault="005F135D" w:rsidP="005F135D">
      <w:pPr>
        <w:spacing w:after="12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Pierwsze półrocze 2025 roku na rynku mieszkaniowym było okresem wyzwań oraz wyraźnych zmian nastrojów. W pierwszym kwartale sytuację określały utrzymujące się wysokie stopy procentowe, które sprawiały, że kredyty hipoteczne w Polsce należały (i wciąż należą) do najdroższych w Unii Europejskiej. Drugi kwartał natomiast przyniósł pierwszą od ponad 1,5 roku obniżkę stóp procentowych oraz spadek stawek WIBOR. W efekcie wzrosło zainteresowanie zakupem mieszkań z wykorzystaniem kredytu hipotecznego. W drugim kwartale tego roku sprzedaliśmy 1000 lokali netto (wzrost o 6% r/r), a udział transakcji wspieranych kredytem sięgnął 58%. W całym pierwszym półroczu znaleźliśmy nabywców na 2033 lokali. </w:t>
      </w:r>
    </w:p>
    <w:p w14:paraId="051FA5F2" w14:textId="77777777" w:rsidR="005F135D" w:rsidRPr="006422B3" w:rsidRDefault="005F135D" w:rsidP="005F135D">
      <w:pPr>
        <w:spacing w:after="12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Z drugiej strony, rosnąca oferta na rynku – szczególnie w największych miastach – doprowadziła do rekordowego poziomu dostępnych lokali, co wydłużyło czas wyprzedaży projektów i wpłynęło na stabilizację cen.</w:t>
      </w:r>
    </w:p>
    <w:p w14:paraId="2A2DFA26" w14:textId="77777777" w:rsidR="005F135D" w:rsidRPr="006422B3" w:rsidRDefault="005F135D" w:rsidP="005F135D">
      <w:pPr>
        <w:spacing w:after="12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W takich warunkach Grupa Dom Development utrzymuje wysoką sprzedaż i planuje dalszy konsekwentny rozwój. Jednocześnie bardziej selektywnie podchodzimy do uruchamiania nowych inwestycji. Biorąc pod uwagę wciąż wysokie koszty kredytów hipotecznych w Polsce, pozostajemy ostrożni w prognozach co do trwałości ożywienia popytu w kolejnych kwartałach</w:t>
      </w:r>
      <w:r w:rsidRPr="006422B3">
        <w:rPr>
          <w:rFonts w:eastAsia="Times New Roman" w:cs="Calibri"/>
          <w:lang w:eastAsia="pl-PL"/>
        </w:rPr>
        <w:t>.</w:t>
      </w:r>
    </w:p>
    <w:p w14:paraId="40E2575A" w14:textId="25C8C938" w:rsidR="005F135D" w:rsidRPr="006422B3" w:rsidRDefault="005F135D" w:rsidP="005F135D">
      <w:pPr>
        <w:spacing w:line="240" w:lineRule="auto"/>
        <w:jc w:val="both"/>
        <w:rPr>
          <w:rFonts w:ascii="Times New Roman" w:eastAsia="Times New Roman" w:hAnsi="Times New Roman"/>
          <w:sz w:val="24"/>
          <w:szCs w:val="24"/>
          <w:lang w:eastAsia="pl-PL"/>
        </w:rPr>
      </w:pPr>
      <w:r w:rsidRPr="005F135D">
        <w:rPr>
          <w:rFonts w:ascii="Poppins" w:eastAsia="Times New Roman" w:hAnsi="Poppins" w:cs="Poppins"/>
          <w:b/>
          <w:bCs/>
          <w:lang w:eastAsia="pl-PL"/>
        </w:rPr>
        <w:br/>
      </w:r>
      <w:r w:rsidRPr="006422B3">
        <w:rPr>
          <w:rFonts w:ascii="Poppins" w:eastAsia="Times New Roman" w:hAnsi="Poppins" w:cs="Poppins"/>
          <w:b/>
          <w:bCs/>
          <w:lang w:eastAsia="pl-PL"/>
        </w:rPr>
        <w:t>Dorota Kos,</w:t>
      </w:r>
      <w:r w:rsidRPr="006422B3">
        <w:rPr>
          <w:rFonts w:ascii="Poppins" w:eastAsia="Times New Roman" w:hAnsi="Poppins" w:cs="Poppins"/>
          <w:lang w:eastAsia="pl-PL"/>
        </w:rPr>
        <w:t xml:space="preserve"> </w:t>
      </w:r>
      <w:r w:rsidRPr="006422B3">
        <w:rPr>
          <w:rFonts w:ascii="Poppins" w:eastAsia="Times New Roman" w:hAnsi="Poppins" w:cs="Poppins"/>
          <w:b/>
          <w:bCs/>
          <w:lang w:eastAsia="pl-PL"/>
        </w:rPr>
        <w:t xml:space="preserve">Sales &amp; Marketing </w:t>
      </w:r>
      <w:proofErr w:type="spellStart"/>
      <w:r w:rsidRPr="006422B3">
        <w:rPr>
          <w:rFonts w:ascii="Poppins" w:eastAsia="Times New Roman" w:hAnsi="Poppins" w:cs="Poppins"/>
          <w:b/>
          <w:bCs/>
          <w:lang w:eastAsia="pl-PL"/>
        </w:rPr>
        <w:t>Director</w:t>
      </w:r>
      <w:proofErr w:type="spellEnd"/>
      <w:r w:rsidRPr="006422B3">
        <w:rPr>
          <w:rFonts w:ascii="Poppins" w:eastAsia="Times New Roman" w:hAnsi="Poppins" w:cs="Poppins"/>
          <w:b/>
          <w:bCs/>
          <w:lang w:eastAsia="pl-PL"/>
        </w:rPr>
        <w:t xml:space="preserve"> w </w:t>
      </w:r>
      <w:proofErr w:type="spellStart"/>
      <w:r w:rsidRPr="006422B3">
        <w:rPr>
          <w:rFonts w:ascii="Poppins" w:eastAsia="Times New Roman" w:hAnsi="Poppins" w:cs="Poppins"/>
          <w:b/>
          <w:bCs/>
          <w:lang w:eastAsia="pl-PL"/>
        </w:rPr>
        <w:t>RealCo</w:t>
      </w:r>
      <w:proofErr w:type="spellEnd"/>
      <w:r w:rsidRPr="006422B3">
        <w:rPr>
          <w:rFonts w:ascii="Poppins" w:eastAsia="Times New Roman" w:hAnsi="Poppins" w:cs="Poppins"/>
          <w:b/>
          <w:bCs/>
          <w:lang w:eastAsia="pl-PL"/>
        </w:rPr>
        <w:t xml:space="preserve"> </w:t>
      </w:r>
      <w:proofErr w:type="spellStart"/>
      <w:r w:rsidRPr="006422B3">
        <w:rPr>
          <w:rFonts w:ascii="Poppins" w:eastAsia="Times New Roman" w:hAnsi="Poppins" w:cs="Poppins"/>
          <w:b/>
          <w:bCs/>
          <w:lang w:eastAsia="pl-PL"/>
        </w:rPr>
        <w:t>Property</w:t>
      </w:r>
      <w:proofErr w:type="spellEnd"/>
      <w:r w:rsidRPr="006422B3">
        <w:rPr>
          <w:rFonts w:ascii="Poppins" w:eastAsia="Times New Roman" w:hAnsi="Poppins" w:cs="Poppins"/>
          <w:b/>
          <w:bCs/>
          <w:lang w:eastAsia="pl-PL"/>
        </w:rPr>
        <w:t xml:space="preserve"> Investment and Development</w:t>
      </w:r>
      <w:r w:rsidRPr="006422B3">
        <w:rPr>
          <w:rFonts w:ascii="Poppins" w:eastAsia="Times New Roman" w:hAnsi="Poppins" w:cs="Poppins"/>
          <w:lang w:eastAsia="pl-PL"/>
        </w:rPr>
        <w:t>  </w:t>
      </w:r>
    </w:p>
    <w:p w14:paraId="463DDF7A" w14:textId="77777777" w:rsidR="005F135D" w:rsidRPr="006422B3" w:rsidRDefault="005F135D" w:rsidP="005F135D">
      <w:pPr>
        <w:spacing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Pierwsza połowa 2025 roku upłynęła pod znakiem stabilizacji na rynku nieruchomości oraz istotnych zmian regulacyjnych.</w:t>
      </w:r>
    </w:p>
    <w:p w14:paraId="4EB3259C" w14:textId="77777777" w:rsidR="005F135D" w:rsidRPr="006422B3" w:rsidRDefault="005F135D" w:rsidP="005F135D">
      <w:pPr>
        <w:spacing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lastRenderedPageBreak/>
        <w:t>W maju Rada Polityki Pieniężnej po raz pierwszy od wielu miesięcy zdecydowała się na obniżkę stóp procentowych, co zwiększyło dostępność kredytów hipotecznych i teoretycznie poprawiło warunki zakupowe dla klientów. Nie był to jednak impuls wystarczająco silny, by pobudzić popyt. Kupujący nadal z dużą rozwagą podejmowali decyzje dotyczące zakupu mieszkania. Na początku lipca doszło do kolejnej obniżki, a następnej spodziewamy się po wakacjach. Daje to szansę na ożywienie rynku w drugiej połowie roku, szczególnie w IV kwartale.</w:t>
      </w:r>
    </w:p>
    <w:p w14:paraId="49B6A6CA" w14:textId="77777777" w:rsidR="005F135D" w:rsidRPr="006422B3" w:rsidRDefault="005F135D" w:rsidP="005F135D">
      <w:pPr>
        <w:spacing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W pierwszych miesiącach roku obserwowaliśmy także wyhamowanie tempa wzrostu cen ofertowych oraz spadek cen transakcyjnych. To naturalna korekta po wzrostach w latach ubiegłych. Szczególnie w dużych miastach, takich jak Wrocław i Warszawa.</w:t>
      </w:r>
    </w:p>
    <w:p w14:paraId="7F297A68" w14:textId="77777777" w:rsidR="005F135D" w:rsidRPr="006422B3" w:rsidRDefault="005F135D" w:rsidP="005F135D">
      <w:pPr>
        <w:spacing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Drugim kluczowym wydarzeniem było wejście w życie nowego prawa nakładającego obowiązek ujawniania cen mieszkań. W odpowiedzi na te zmiany dokonaliśmy aktualizacji naszych materiałów marketingowych oraz procedur wewnętrznych. Oceniamy tę zmianę pozytywnie – zwiększa ona przejrzystość rynku, buduje zaufanie i przyciąga zdecydowanych klientów, świadomych kosztów nieruchomości.</w:t>
      </w:r>
    </w:p>
    <w:p w14:paraId="05F55B88" w14:textId="22DC2DD5" w:rsidR="005F135D" w:rsidRPr="005F135D" w:rsidRDefault="005F135D" w:rsidP="005F135D">
      <w:pPr>
        <w:spacing w:line="240" w:lineRule="auto"/>
        <w:jc w:val="both"/>
        <w:rPr>
          <w:rFonts w:ascii="Poppins" w:eastAsia="Times New Roman" w:hAnsi="Poppins" w:cs="Poppins"/>
          <w:lang w:eastAsia="pl-PL"/>
        </w:rPr>
      </w:pPr>
      <w:r w:rsidRPr="006422B3">
        <w:rPr>
          <w:rFonts w:ascii="Poppins" w:eastAsia="Times New Roman" w:hAnsi="Poppins" w:cs="Poppins"/>
          <w:lang w:eastAsia="pl-PL"/>
        </w:rPr>
        <w:t>Pierwsze półrocze traktujemy jako okres przygotowania do ożywienia w drugiej części roku. Rynek jest stabilny, a klienci podejmują racjonalne decyzje zakupowe, co umożliwia spokojne i długoterminowe planowanie sprzedaży.</w:t>
      </w:r>
    </w:p>
    <w:p w14:paraId="7DB28BE1" w14:textId="77777777" w:rsidR="006422B3" w:rsidRPr="005F135D" w:rsidRDefault="006422B3" w:rsidP="006422B3">
      <w:pPr>
        <w:shd w:val="clear" w:color="auto" w:fill="FFFFFF"/>
        <w:spacing w:after="0" w:line="240" w:lineRule="auto"/>
        <w:rPr>
          <w:rFonts w:ascii="Poppins" w:eastAsia="Times New Roman" w:hAnsi="Poppins" w:cs="Poppins"/>
          <w:b/>
          <w:bCs/>
          <w:lang w:eastAsia="pl-PL"/>
        </w:rPr>
      </w:pPr>
      <w:r w:rsidRPr="006422B3">
        <w:rPr>
          <w:rFonts w:ascii="Poppins" w:eastAsia="Times New Roman" w:hAnsi="Poppins" w:cs="Poppins"/>
          <w:b/>
          <w:bCs/>
          <w:lang w:eastAsia="pl-PL"/>
        </w:rPr>
        <w:t xml:space="preserve">Piotr Garus, Dział Sprzedaży Koneser </w:t>
      </w:r>
      <w:proofErr w:type="spellStart"/>
      <w:r w:rsidRPr="006422B3">
        <w:rPr>
          <w:rFonts w:ascii="Poppins" w:eastAsia="Times New Roman" w:hAnsi="Poppins" w:cs="Poppins"/>
          <w:b/>
          <w:bCs/>
          <w:lang w:eastAsia="pl-PL"/>
        </w:rPr>
        <w:t>Group</w:t>
      </w:r>
      <w:proofErr w:type="spellEnd"/>
    </w:p>
    <w:p w14:paraId="7DB46D89" w14:textId="77777777" w:rsidR="006422B3" w:rsidRPr="006422B3" w:rsidRDefault="006422B3" w:rsidP="006422B3">
      <w:pPr>
        <w:shd w:val="clear" w:color="auto" w:fill="FFFFFF"/>
        <w:spacing w:after="0" w:line="240" w:lineRule="auto"/>
        <w:rPr>
          <w:rFonts w:ascii="Times New Roman" w:eastAsia="Times New Roman" w:hAnsi="Times New Roman"/>
          <w:sz w:val="24"/>
          <w:szCs w:val="24"/>
          <w:lang w:eastAsia="pl-PL"/>
        </w:rPr>
      </w:pPr>
    </w:p>
    <w:p w14:paraId="45AD4062" w14:textId="77777777" w:rsidR="006422B3" w:rsidRPr="005F135D" w:rsidRDefault="006422B3" w:rsidP="006422B3">
      <w:pPr>
        <w:shd w:val="clear" w:color="auto" w:fill="FFFFFF"/>
        <w:spacing w:after="0" w:line="240" w:lineRule="auto"/>
        <w:jc w:val="both"/>
        <w:rPr>
          <w:rFonts w:ascii="Poppins" w:eastAsia="Times New Roman" w:hAnsi="Poppins" w:cs="Poppins"/>
          <w:lang w:eastAsia="pl-PL"/>
        </w:rPr>
      </w:pPr>
      <w:r w:rsidRPr="006422B3">
        <w:rPr>
          <w:rFonts w:ascii="Poppins" w:eastAsia="Times New Roman" w:hAnsi="Poppins" w:cs="Poppins"/>
          <w:lang w:eastAsia="pl-PL"/>
        </w:rPr>
        <w:t>Pierwsze półrocze 2025 roku na rynku nieruchomości zabytkowych w Krakowie potwierdza utrzymującą się opłacalność inwestycji w rewitalizację kamienic. Duże zainteresowanie inwestorów przekłada się na dynamiczny wzrost cen mieszkań w atrakcyjnych lokalizacjach stolicy Małopolski (wg szacunków to 15% rok do roku). Wysoki popyt na tego typu nieruchomości napędzają zarówno klienci indywidualni, jak i inwestorzy, którzy lokują w nie kapitał. Apartamenty w zrewitalizowanych kamienicach osiągają wysokie stopy zwrotu przy wynajmie krótkoterminowym, co czyni je atrakcyjną alternatywą dla tradycyjnych inwestycji.</w:t>
      </w:r>
    </w:p>
    <w:p w14:paraId="297BAE6B"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p>
    <w:p w14:paraId="228BBD01" w14:textId="77777777" w:rsidR="006422B3" w:rsidRPr="005F135D" w:rsidRDefault="006422B3" w:rsidP="006422B3">
      <w:pPr>
        <w:shd w:val="clear" w:color="auto" w:fill="FFFFFF"/>
        <w:spacing w:after="0" w:line="240" w:lineRule="auto"/>
        <w:jc w:val="both"/>
        <w:rPr>
          <w:rFonts w:ascii="Poppins" w:eastAsia="Times New Roman" w:hAnsi="Poppins" w:cs="Poppins"/>
          <w:lang w:eastAsia="pl-PL"/>
        </w:rPr>
      </w:pPr>
      <w:r w:rsidRPr="006422B3">
        <w:rPr>
          <w:rFonts w:ascii="Poppins" w:eastAsia="Times New Roman" w:hAnsi="Poppins" w:cs="Poppins"/>
          <w:lang w:eastAsia="pl-PL"/>
        </w:rPr>
        <w:t xml:space="preserve">Firmy takie jak Koneser </w:t>
      </w:r>
      <w:proofErr w:type="spellStart"/>
      <w:r w:rsidRPr="006422B3">
        <w:rPr>
          <w:rFonts w:ascii="Poppins" w:eastAsia="Times New Roman" w:hAnsi="Poppins" w:cs="Poppins"/>
          <w:lang w:eastAsia="pl-PL"/>
        </w:rPr>
        <w:t>Group</w:t>
      </w:r>
      <w:proofErr w:type="spellEnd"/>
      <w:r w:rsidRPr="006422B3">
        <w:rPr>
          <w:rFonts w:ascii="Poppins" w:eastAsia="Times New Roman" w:hAnsi="Poppins" w:cs="Poppins"/>
          <w:lang w:eastAsia="pl-PL"/>
        </w:rPr>
        <w:t xml:space="preserve">, działające w branży nieruchomości zabytkowych od lat, skutecznie wykorzystują potencjał historycznych nieruchomości. Nasza firma realizuje właśnie bardzo dużą rewitalizację zespołu czterech kamienic – obejmującą ok. 5 tys. m² PUM przy ul. </w:t>
      </w:r>
      <w:proofErr w:type="spellStart"/>
      <w:r w:rsidRPr="006422B3">
        <w:rPr>
          <w:rFonts w:ascii="Poppins" w:eastAsia="Times New Roman" w:hAnsi="Poppins" w:cs="Poppins"/>
          <w:lang w:eastAsia="pl-PL"/>
        </w:rPr>
        <w:t>Skałecznej</w:t>
      </w:r>
      <w:proofErr w:type="spellEnd"/>
      <w:r w:rsidRPr="006422B3">
        <w:rPr>
          <w:rFonts w:ascii="Poppins" w:eastAsia="Times New Roman" w:hAnsi="Poppins" w:cs="Poppins"/>
          <w:lang w:eastAsia="pl-PL"/>
        </w:rPr>
        <w:t xml:space="preserve"> na Kazimierzu.  Do tej pory sprzedano już blisko 70% lokali, a większość powierzchni usługowych w parterach znalazła najemców.</w:t>
      </w:r>
    </w:p>
    <w:p w14:paraId="6D20A533"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p>
    <w:p w14:paraId="65DE9B30" w14:textId="77777777" w:rsidR="006422B3" w:rsidRPr="005F135D" w:rsidRDefault="006422B3" w:rsidP="006422B3">
      <w:pPr>
        <w:shd w:val="clear" w:color="auto" w:fill="FFFFFF"/>
        <w:spacing w:after="0" w:line="240" w:lineRule="auto"/>
        <w:jc w:val="both"/>
        <w:rPr>
          <w:rFonts w:ascii="Poppins" w:eastAsia="Times New Roman" w:hAnsi="Poppins" w:cs="Poppins"/>
          <w:lang w:eastAsia="pl-PL"/>
        </w:rPr>
      </w:pPr>
      <w:r w:rsidRPr="006422B3">
        <w:rPr>
          <w:rFonts w:ascii="Poppins" w:eastAsia="Times New Roman" w:hAnsi="Poppins" w:cs="Poppins"/>
          <w:lang w:eastAsia="pl-PL"/>
        </w:rPr>
        <w:t xml:space="preserve">Rewitalizacja zabytków to proces wymagający – wiąże się z wysokimi nakładami finansowymi, długim czasem realizacji oraz koniecznością ścisłej współpracy z organami administracyjnymi i konserwatorskimi. Mimo to, ograniczona podaż obiektów i stale rosnący popyt wskazują, że ten segment nieruchomości wciąż ma </w:t>
      </w:r>
      <w:r w:rsidRPr="006422B3">
        <w:rPr>
          <w:rFonts w:ascii="Poppins" w:eastAsia="Times New Roman" w:hAnsi="Poppins" w:cs="Poppins"/>
          <w:lang w:eastAsia="pl-PL"/>
        </w:rPr>
        <w:lastRenderedPageBreak/>
        <w:t>ogromny potencjał, a zabytkowe nieruchomości pozostają jednym z najstabilniejszych i najbardziej perspektywicznych obszarów rynku nieruchomości w Krakowie.</w:t>
      </w:r>
    </w:p>
    <w:p w14:paraId="0C2253CB" w14:textId="77777777" w:rsidR="005F135D" w:rsidRPr="005F135D" w:rsidRDefault="005F135D" w:rsidP="006422B3">
      <w:pPr>
        <w:shd w:val="clear" w:color="auto" w:fill="FFFFFF"/>
        <w:spacing w:after="0" w:line="240" w:lineRule="auto"/>
        <w:jc w:val="both"/>
        <w:rPr>
          <w:rFonts w:ascii="Poppins" w:eastAsia="Times New Roman" w:hAnsi="Poppins" w:cs="Poppins"/>
          <w:lang w:eastAsia="pl-PL"/>
        </w:rPr>
      </w:pPr>
    </w:p>
    <w:p w14:paraId="79B87C86" w14:textId="77777777"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b/>
          <w:bCs/>
          <w:lang w:eastAsia="pl-PL"/>
        </w:rPr>
        <w:t xml:space="preserve">Nikodem Iskra, Prezes Zarządu </w:t>
      </w:r>
      <w:proofErr w:type="spellStart"/>
      <w:r w:rsidRPr="006422B3">
        <w:rPr>
          <w:rFonts w:ascii="Poppins" w:eastAsia="Times New Roman" w:hAnsi="Poppins" w:cs="Poppins"/>
          <w:b/>
          <w:bCs/>
          <w:lang w:eastAsia="pl-PL"/>
        </w:rPr>
        <w:t>Murapol</w:t>
      </w:r>
      <w:proofErr w:type="spellEnd"/>
      <w:r w:rsidRPr="006422B3">
        <w:rPr>
          <w:rFonts w:ascii="Poppins" w:eastAsia="Times New Roman" w:hAnsi="Poppins" w:cs="Poppins"/>
          <w:b/>
          <w:bCs/>
          <w:lang w:eastAsia="pl-PL"/>
        </w:rPr>
        <w:t xml:space="preserve"> SA</w:t>
      </w:r>
    </w:p>
    <w:p w14:paraId="358E1DD0" w14:textId="77777777" w:rsidR="005F135D" w:rsidRPr="006422B3" w:rsidRDefault="005F135D" w:rsidP="005F135D">
      <w:pPr>
        <w:spacing w:after="0" w:line="240" w:lineRule="auto"/>
        <w:rPr>
          <w:rFonts w:ascii="Times New Roman" w:eastAsia="Times New Roman" w:hAnsi="Times New Roman"/>
          <w:sz w:val="24"/>
          <w:szCs w:val="24"/>
          <w:lang w:eastAsia="pl-PL"/>
        </w:rPr>
      </w:pPr>
    </w:p>
    <w:p w14:paraId="281A753A" w14:textId="77777777"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xml:space="preserve">Rok 2025 będzie czasem szczególnie sprzyjającym klientom na rynku mieszkaniowym. Już w 2024 roku przygotowaliśmy szeroką ofertę mieszkań, z których wiele znajduje się na zaawansowanym etapie realizacji, co oznacza krótszy czas oczekiwania na odbiór wymarzonego lokalu. Dzięki temu nasi klienci mają możliwość wyboru mieszkań idealnie dopasowanych do swoich potrzeb — zarówno pod względem lokalizacji, metrażu, jak i preferowanego terminu odbioru. Grupa </w:t>
      </w:r>
      <w:proofErr w:type="spellStart"/>
      <w:r w:rsidRPr="006422B3">
        <w:rPr>
          <w:rFonts w:ascii="Poppins" w:eastAsia="Times New Roman" w:hAnsi="Poppins" w:cs="Poppins"/>
          <w:lang w:eastAsia="pl-PL"/>
        </w:rPr>
        <w:t>Murapol</w:t>
      </w:r>
      <w:proofErr w:type="spellEnd"/>
      <w:r w:rsidRPr="006422B3">
        <w:rPr>
          <w:rFonts w:ascii="Poppins" w:eastAsia="Times New Roman" w:hAnsi="Poppins" w:cs="Poppins"/>
          <w:lang w:eastAsia="pl-PL"/>
        </w:rPr>
        <w:t xml:space="preserve">, wyróżniająca się największą dywersyfikacją geograficzną w branży, jest obecna w 16 miastach i oferuje ponad 4,4 tysiąca lokali. Pozwala nam to dotrzeć do szerokiego grona osób poszukujących nieruchomości, zarówno na własny użytek, jak i w celach inwestycyjnych. W miastach takich jak Gdańsk, Poznań, Łódź czy Kraków proponujemy mieszkania w różnych inwestycjach i lokalizacjach, co pozwala nam odpowiadać na zróżnicowane oczekiwania klientów. Taka strategia od lat przekłada się na stabilne i powtarzalne wyniki sprzedażowe Grupy </w:t>
      </w:r>
      <w:proofErr w:type="spellStart"/>
      <w:r w:rsidRPr="006422B3">
        <w:rPr>
          <w:rFonts w:ascii="Poppins" w:eastAsia="Times New Roman" w:hAnsi="Poppins" w:cs="Poppins"/>
          <w:lang w:eastAsia="pl-PL"/>
        </w:rPr>
        <w:t>Murapol</w:t>
      </w:r>
      <w:proofErr w:type="spellEnd"/>
      <w:r w:rsidRPr="006422B3">
        <w:rPr>
          <w:rFonts w:ascii="Poppins" w:eastAsia="Times New Roman" w:hAnsi="Poppins" w:cs="Poppins"/>
          <w:lang w:eastAsia="pl-PL"/>
        </w:rPr>
        <w:t>, nawet w zmieniających się warunkach makroekonomicznych. Naszym atutem jest również systematycznie powiększany i uzupełniany bank ziemi, który na koniec pierwszego półrocza br. obejmuje ponad 20 tysięcy lokali w 18 miastach. To daje nam solidne podstawy do dalszego rozwoju i pozwala z optymizmem patrzeć w przyszłość.</w:t>
      </w:r>
    </w:p>
    <w:p w14:paraId="733E6B7B" w14:textId="77777777" w:rsidR="005F135D" w:rsidRPr="005F135D" w:rsidRDefault="005F135D" w:rsidP="006422B3">
      <w:pPr>
        <w:spacing w:line="240" w:lineRule="auto"/>
        <w:jc w:val="both"/>
        <w:rPr>
          <w:rFonts w:ascii="Times New Roman" w:eastAsia="Times New Roman" w:hAnsi="Times New Roman"/>
          <w:sz w:val="24"/>
          <w:szCs w:val="24"/>
          <w:lang w:eastAsia="pl-PL"/>
        </w:rPr>
      </w:pPr>
    </w:p>
    <w:p w14:paraId="27F479C0" w14:textId="1A10028C" w:rsidR="006422B3" w:rsidRPr="006422B3" w:rsidRDefault="006422B3" w:rsidP="006422B3">
      <w:pPr>
        <w:spacing w:line="240" w:lineRule="auto"/>
        <w:jc w:val="both"/>
        <w:rPr>
          <w:rFonts w:ascii="Times New Roman" w:eastAsia="Times New Roman" w:hAnsi="Times New Roman"/>
          <w:sz w:val="24"/>
          <w:szCs w:val="24"/>
          <w:lang w:eastAsia="pl-PL"/>
        </w:rPr>
      </w:pPr>
      <w:r w:rsidRPr="006422B3">
        <w:rPr>
          <w:rFonts w:ascii="Poppins" w:eastAsia="Times New Roman" w:hAnsi="Poppins" w:cs="Poppins"/>
          <w:b/>
          <w:bCs/>
          <w:lang w:eastAsia="pl-PL"/>
        </w:rPr>
        <w:t>Anna Wojdyga, Dyrektor Handlowy firmy PROFBUD</w:t>
      </w:r>
    </w:p>
    <w:p w14:paraId="68EF7125" w14:textId="77777777" w:rsidR="006422B3" w:rsidRPr="006422B3" w:rsidRDefault="006422B3" w:rsidP="006422B3">
      <w:pPr>
        <w:spacing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xml:space="preserve">Pierwsza połowa 2025 roku była dla firmy okresem wysokiej aktywności i dużej dynamiki – sprzedaż dwóch inwestycji w Warszawie została niemal zakończona, a w czwartym etapie projektu w Łodzi (Osiedlu Primo) pozostało zaledwie 14% mieszkań. Sytuacja na rynku nieruchomości została również dodatkowo wzmocniona przez majową decyzję Rady Polityki Pieniężnej o obniżeniu stóp procentowych o 0,5 </w:t>
      </w:r>
      <w:proofErr w:type="spellStart"/>
      <w:r w:rsidRPr="006422B3">
        <w:rPr>
          <w:rFonts w:ascii="Poppins" w:eastAsia="Times New Roman" w:hAnsi="Poppins" w:cs="Poppins"/>
          <w:lang w:eastAsia="pl-PL"/>
        </w:rPr>
        <w:t>pp</w:t>
      </w:r>
      <w:proofErr w:type="spellEnd"/>
      <w:r w:rsidRPr="006422B3">
        <w:rPr>
          <w:rFonts w:ascii="Poppins" w:eastAsia="Times New Roman" w:hAnsi="Poppins" w:cs="Poppins"/>
          <w:lang w:eastAsia="pl-PL"/>
        </w:rPr>
        <w:t xml:space="preserve"> – z poziomu 5,75% do 5,25% (referencyjna). Zmiana ta weszła w życie 8 maja 2025 roku i jest pierwszą taką decyzją od października 2023 roku, co czyni ją szczególnie ważnym ruchem dla całej branży. Obniżka stóp to nie tylko dobry sygnał dla kredytobiorców, ale również impuls do podjęcia decyzji zakupowych, które osiągają coraz wyższe wskaźniki. Pierwsza połowa roku była także czasem intensywnych działań przygotowawczych – oficjalnie przypieczętowaliśmy start budowy I etapu, dzielnicy „Paryż” w Mieście Polskich Mistrzów Olimpijskich, naszej prestiżowej inwestycji realizowanej we współpracy z Robertem Lewandowskim. To tutaj właśnie złota i srebrne medalistki letnich Igrzysk Olimpijskich w Paryżu: Aleksandra Mirosław, Klaudia Zwolińska, Julia Szeremeta oraz Daria </w:t>
      </w:r>
      <w:proofErr w:type="spellStart"/>
      <w:r w:rsidRPr="006422B3">
        <w:rPr>
          <w:rFonts w:ascii="Poppins" w:eastAsia="Times New Roman" w:hAnsi="Poppins" w:cs="Poppins"/>
          <w:lang w:eastAsia="pl-PL"/>
        </w:rPr>
        <w:t>Pikulik</w:t>
      </w:r>
      <w:proofErr w:type="spellEnd"/>
      <w:r w:rsidRPr="006422B3">
        <w:rPr>
          <w:rFonts w:ascii="Poppins" w:eastAsia="Times New Roman" w:hAnsi="Poppins" w:cs="Poppins"/>
          <w:lang w:eastAsia="pl-PL"/>
        </w:rPr>
        <w:t xml:space="preserve"> otrzymały od firmy PROFBUD nagrody </w:t>
      </w:r>
      <w:r w:rsidRPr="006422B3">
        <w:rPr>
          <w:rFonts w:ascii="Poppins" w:eastAsia="Times New Roman" w:hAnsi="Poppins" w:cs="Poppins"/>
          <w:lang w:eastAsia="pl-PL"/>
        </w:rPr>
        <w:lastRenderedPageBreak/>
        <w:t xml:space="preserve">rzeczowe w postaci mieszkań – pierwszy raz w historii polskiego olimpizmu. Co więcej, do grona sportowców zaangażowanych w projekt dołączył również Bartosz </w:t>
      </w:r>
      <w:proofErr w:type="spellStart"/>
      <w:r w:rsidRPr="006422B3">
        <w:rPr>
          <w:rFonts w:ascii="Poppins" w:eastAsia="Times New Roman" w:hAnsi="Poppins" w:cs="Poppins"/>
          <w:lang w:eastAsia="pl-PL"/>
        </w:rPr>
        <w:t>Zmarzlik</w:t>
      </w:r>
      <w:proofErr w:type="spellEnd"/>
      <w:r w:rsidRPr="006422B3">
        <w:rPr>
          <w:rFonts w:ascii="Poppins" w:eastAsia="Times New Roman" w:hAnsi="Poppins" w:cs="Poppins"/>
          <w:lang w:eastAsia="pl-PL"/>
        </w:rPr>
        <w:t xml:space="preserve">, pięciokrotny mistrz świata i jeden z najwybitniejszych sportowców w historii żużla, z którym właśnie rozpoczęliśmy współpracę sponsoringową. W pierwszym półroczu wprowadziliśmy także nowy projekt mieszkaniowy do przedsprzedaży – inwestycję </w:t>
      </w:r>
      <w:proofErr w:type="spellStart"/>
      <w:r w:rsidRPr="006422B3">
        <w:rPr>
          <w:rFonts w:ascii="Poppins" w:eastAsia="Times New Roman" w:hAnsi="Poppins" w:cs="Poppins"/>
          <w:lang w:eastAsia="pl-PL"/>
        </w:rPr>
        <w:t>Mocha</w:t>
      </w:r>
      <w:proofErr w:type="spellEnd"/>
      <w:r w:rsidRPr="006422B3">
        <w:rPr>
          <w:rFonts w:ascii="Poppins" w:eastAsia="Times New Roman" w:hAnsi="Poppins" w:cs="Poppins"/>
          <w:lang w:eastAsia="pl-PL"/>
        </w:rPr>
        <w:t xml:space="preserve"> Tower na warszawskim Gocławiu o imponującej wysokości sięgającej aż 25 pięter. Jako pierwszy deweloper w Polsce wybudowaliśmy i uruchomiliśmy również własną farmę wiatrową – Green On Energy – która w przyszłości zasili nasze inwestycje mieszkaniowe w czystą energią, wspierając realizację strategii zrównoważonego rozwoju. Przed nami drugie półrocze i nowe, ambitne wyzwania – w planach mamy realizację kolejnych innowacyjnych projektów. Nie zapominamy także o dużej zmianie, przed którą stoi cała branża, czyli wejście w życie ustawy dotyczącej jawności cen mieszkań. To zmiana, do której deweloperzy muszą się zaadaptować zarówno operacyjnie, jak i komunikacyjnie – wymagająca nie tylko dostosowania systemów sprzedażowych, ale również zmiany w podejściu do relacji z klientem. Warto wspomnieć, że jesteśmy już po pierwszym wdrożeniu wytycznych dla inwestycji </w:t>
      </w:r>
      <w:proofErr w:type="spellStart"/>
      <w:r w:rsidRPr="006422B3">
        <w:rPr>
          <w:rFonts w:ascii="Poppins" w:eastAsia="Times New Roman" w:hAnsi="Poppins" w:cs="Poppins"/>
          <w:lang w:eastAsia="pl-PL"/>
        </w:rPr>
        <w:t>Mocha</w:t>
      </w:r>
      <w:proofErr w:type="spellEnd"/>
      <w:r w:rsidRPr="006422B3">
        <w:rPr>
          <w:rFonts w:ascii="Poppins" w:eastAsia="Times New Roman" w:hAnsi="Poppins" w:cs="Poppins"/>
          <w:lang w:eastAsia="pl-PL"/>
        </w:rPr>
        <w:t xml:space="preserve"> Tower. Transparentność cen z pewnością wpłynie na sposób prowadzenia negocjacji i może zmienić oczekiwania klientów, dlatego kluczowa będzie edukacja rynku oraz umiejętność elastycznego dostosowania się do nowych realiów. </w:t>
      </w:r>
    </w:p>
    <w:p w14:paraId="44D493B3" w14:textId="77777777" w:rsidR="006422B3" w:rsidRPr="006422B3" w:rsidRDefault="006422B3" w:rsidP="006422B3">
      <w:pPr>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b/>
          <w:bCs/>
          <w:lang w:eastAsia="pl-PL"/>
        </w:rPr>
        <w:t>Jakub Bujalski, Sales and Marketing Manager, Grupo Lar Polska</w:t>
      </w:r>
    </w:p>
    <w:p w14:paraId="2A330C27" w14:textId="77777777" w:rsidR="006422B3" w:rsidRPr="006422B3" w:rsidRDefault="006422B3" w:rsidP="006422B3">
      <w:pPr>
        <w:spacing w:after="0" w:line="240" w:lineRule="auto"/>
        <w:rPr>
          <w:rFonts w:ascii="Times New Roman" w:eastAsia="Times New Roman" w:hAnsi="Times New Roman"/>
          <w:sz w:val="24"/>
          <w:szCs w:val="24"/>
          <w:lang w:eastAsia="pl-PL"/>
        </w:rPr>
      </w:pPr>
    </w:p>
    <w:p w14:paraId="0365EAA5" w14:textId="77777777" w:rsidR="006422B3" w:rsidRPr="006422B3" w:rsidRDefault="006422B3" w:rsidP="006422B3">
      <w:pPr>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Pierwsza połowa 2025 r. upłynęła pod znakiem stabilizacji – zarówno cen, jak i nastrojów. Po dynamicznym 2023 i 2024 roku, napędzanym m.in. programem „Bezpieczny Kredyt 2%” i ograniczoną podażą, rynek wyraźnie wyhamował. Widać to choćby po korektach cen ofertowych w wielu miastach i lekkim spadku sprzedaży w I kwartale. Jednocześnie druga połowa półrocza przyniosła już oznaki ożywienia – kilku dużych deweloperów raportowało wzrost sprzedaży w II kwartale.</w:t>
      </w:r>
    </w:p>
    <w:p w14:paraId="77E77170" w14:textId="77777777" w:rsidR="006422B3" w:rsidRPr="006422B3" w:rsidRDefault="006422B3" w:rsidP="006422B3">
      <w:pPr>
        <w:spacing w:after="0" w:line="240" w:lineRule="auto"/>
        <w:rPr>
          <w:rFonts w:ascii="Times New Roman" w:eastAsia="Times New Roman" w:hAnsi="Times New Roman"/>
          <w:sz w:val="24"/>
          <w:szCs w:val="24"/>
          <w:lang w:eastAsia="pl-PL"/>
        </w:rPr>
      </w:pPr>
    </w:p>
    <w:p w14:paraId="04F7CA0E" w14:textId="77777777" w:rsidR="006422B3" w:rsidRPr="006422B3" w:rsidRDefault="006422B3" w:rsidP="006422B3">
      <w:pPr>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Po stronie popytowej widzimy klientów bardziej świadomych, porównujących oferty i ostrożnych w podejmowaniu decyzji. Obniżka stóp procentowych może poprawić dostępność kredytów, ale nie przekłada się jeszcze na gwałtowny wzrost zainteresowania. Dla deweloperów to czas dopracowywania produktów – lokalizacji, układów mieszkań i strategii cenowej.</w:t>
      </w:r>
    </w:p>
    <w:p w14:paraId="310F3202" w14:textId="77777777" w:rsidR="006422B3" w:rsidRPr="006422B3" w:rsidRDefault="006422B3" w:rsidP="006422B3">
      <w:pPr>
        <w:spacing w:after="0" w:line="240" w:lineRule="auto"/>
        <w:rPr>
          <w:rFonts w:ascii="Times New Roman" w:eastAsia="Times New Roman" w:hAnsi="Times New Roman"/>
          <w:sz w:val="24"/>
          <w:szCs w:val="24"/>
          <w:lang w:eastAsia="pl-PL"/>
        </w:rPr>
      </w:pPr>
    </w:p>
    <w:p w14:paraId="2EFE5609" w14:textId="77777777" w:rsidR="006422B3" w:rsidRPr="005F135D" w:rsidRDefault="006422B3" w:rsidP="006422B3">
      <w:pPr>
        <w:spacing w:after="0" w:line="240" w:lineRule="auto"/>
        <w:jc w:val="both"/>
        <w:rPr>
          <w:rFonts w:ascii="Poppins" w:eastAsia="Times New Roman" w:hAnsi="Poppins" w:cs="Poppins"/>
          <w:lang w:eastAsia="pl-PL"/>
        </w:rPr>
      </w:pPr>
      <w:r w:rsidRPr="006422B3">
        <w:rPr>
          <w:rFonts w:ascii="Poppins" w:eastAsia="Times New Roman" w:hAnsi="Poppins" w:cs="Poppins"/>
          <w:lang w:eastAsia="pl-PL"/>
        </w:rPr>
        <w:t>Podsumowując: rynek wszedł w fazę „normalizacji” – mniej spektakularną, ale bardziej zrównoważoną. To dobry moment na przemyślane decyzje inwestycyjne – zarówno dla kupujących, jak i dla nas, po stronie podaży.</w:t>
      </w:r>
    </w:p>
    <w:p w14:paraId="38AE28EB" w14:textId="77777777" w:rsidR="005F135D" w:rsidRPr="005F135D" w:rsidRDefault="005F135D" w:rsidP="006422B3">
      <w:pPr>
        <w:spacing w:after="0" w:line="240" w:lineRule="auto"/>
        <w:jc w:val="both"/>
        <w:rPr>
          <w:rFonts w:ascii="Poppins" w:eastAsia="Times New Roman" w:hAnsi="Poppins" w:cs="Poppins"/>
          <w:lang w:eastAsia="pl-PL"/>
        </w:rPr>
      </w:pPr>
    </w:p>
    <w:p w14:paraId="766F63B0" w14:textId="77777777"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b/>
          <w:bCs/>
          <w:shd w:val="clear" w:color="auto" w:fill="FFFFFF"/>
          <w:lang w:eastAsia="pl-PL"/>
        </w:rPr>
        <w:lastRenderedPageBreak/>
        <w:t xml:space="preserve">Zachariasz </w:t>
      </w:r>
      <w:proofErr w:type="spellStart"/>
      <w:r w:rsidRPr="006422B3">
        <w:rPr>
          <w:rFonts w:ascii="Poppins" w:eastAsia="Times New Roman" w:hAnsi="Poppins" w:cs="Poppins"/>
          <w:b/>
          <w:bCs/>
          <w:shd w:val="clear" w:color="auto" w:fill="FFFFFF"/>
          <w:lang w:eastAsia="pl-PL"/>
        </w:rPr>
        <w:t>Nercz</w:t>
      </w:r>
      <w:proofErr w:type="spellEnd"/>
      <w:r w:rsidRPr="006422B3">
        <w:rPr>
          <w:rFonts w:ascii="Poppins" w:eastAsia="Times New Roman" w:hAnsi="Poppins" w:cs="Poppins"/>
          <w:b/>
          <w:bCs/>
          <w:shd w:val="clear" w:color="auto" w:fill="FFFFFF"/>
          <w:lang w:eastAsia="pl-PL"/>
        </w:rPr>
        <w:t xml:space="preserve">, Członek Zarządu, Dyrektor Działu Marketingu i Sprzedaży </w:t>
      </w:r>
      <w:proofErr w:type="spellStart"/>
      <w:r w:rsidRPr="006422B3">
        <w:rPr>
          <w:rFonts w:ascii="Poppins" w:eastAsia="Times New Roman" w:hAnsi="Poppins" w:cs="Poppins"/>
          <w:b/>
          <w:bCs/>
          <w:shd w:val="clear" w:color="auto" w:fill="FFFFFF"/>
          <w:lang w:eastAsia="pl-PL"/>
        </w:rPr>
        <w:t>Novisa</w:t>
      </w:r>
      <w:proofErr w:type="spellEnd"/>
      <w:r w:rsidRPr="006422B3">
        <w:rPr>
          <w:rFonts w:ascii="Poppins" w:eastAsia="Times New Roman" w:hAnsi="Poppins" w:cs="Poppins"/>
          <w:b/>
          <w:bCs/>
          <w:shd w:val="clear" w:color="auto" w:fill="FFFFFF"/>
          <w:lang w:eastAsia="pl-PL"/>
        </w:rPr>
        <w:t xml:space="preserve"> Development</w:t>
      </w:r>
    </w:p>
    <w:p w14:paraId="2A503D11" w14:textId="77777777"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p>
    <w:p w14:paraId="63437ED4" w14:textId="77777777"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Pierwsze półrocze 2025 roku upłynęło pod znakiem ostrożnego optymizmu. Wysokie koszty finansowania nadal wpływały na decyzje zakupowe klientów, jednak rynek pokazał dużą odporność. Stabilizacja cen materiałów budowlanych oraz większa przewidywalność w obszarze wykonawstwa pozwoliły deweloperom na bardziej precyzyjne planowanie inwestycji. Również po stronie podaży widać oznaki stabilizacji – po okresie dużej niepewności, rynek wraca do równowagi.</w:t>
      </w:r>
    </w:p>
    <w:p w14:paraId="2F657A10" w14:textId="77777777"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w:t>
      </w:r>
    </w:p>
    <w:p w14:paraId="630872A1" w14:textId="77777777"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xml:space="preserve">Z perspektywy </w:t>
      </w:r>
      <w:proofErr w:type="spellStart"/>
      <w:r w:rsidRPr="006422B3">
        <w:rPr>
          <w:rFonts w:ascii="Poppins" w:eastAsia="Times New Roman" w:hAnsi="Poppins" w:cs="Poppins"/>
          <w:lang w:eastAsia="pl-PL"/>
        </w:rPr>
        <w:t>Novisa</w:t>
      </w:r>
      <w:proofErr w:type="spellEnd"/>
      <w:r w:rsidRPr="006422B3">
        <w:rPr>
          <w:rFonts w:ascii="Poppins" w:eastAsia="Times New Roman" w:hAnsi="Poppins" w:cs="Poppins"/>
          <w:lang w:eastAsia="pl-PL"/>
        </w:rPr>
        <w:t xml:space="preserve"> Development, zauważamy wyraźne ożywienie popytu po ogłoszonych obniżkach stóp procentowych. Szczególnie widoczny był wzrost aktywności klientów już od drugiego kwartału, a także coraz większy udział klientów zagranicznych.</w:t>
      </w:r>
    </w:p>
    <w:p w14:paraId="56227AE1" w14:textId="77777777"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w:t>
      </w:r>
    </w:p>
    <w:p w14:paraId="08C13087" w14:textId="025DD7EC"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Z optymizmem patrzymy na drugą połowę roku – planowane dalsze luzowanie polityki monetarnej może przełożyć się na zwiększoną dostępność kredytów, a co za tym idzie – na dalszy wzrost sprzedaży. Wierzymy, że nadchodzące miesiące będą okresem stopniowego, ale trwałego ożywienia całego sektora mieszkaniowego.</w:t>
      </w:r>
    </w:p>
    <w:p w14:paraId="6E3772E8" w14:textId="77777777" w:rsidR="006422B3" w:rsidRPr="006422B3" w:rsidRDefault="006422B3" w:rsidP="006422B3">
      <w:pPr>
        <w:spacing w:after="0" w:line="240" w:lineRule="auto"/>
        <w:rPr>
          <w:rFonts w:ascii="Times New Roman" w:eastAsia="Times New Roman" w:hAnsi="Times New Roman"/>
          <w:sz w:val="24"/>
          <w:szCs w:val="24"/>
          <w:lang w:eastAsia="pl-PL"/>
        </w:rPr>
      </w:pPr>
    </w:p>
    <w:p w14:paraId="404E4D4F"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b/>
          <w:bCs/>
          <w:lang w:eastAsia="pl-PL"/>
        </w:rPr>
        <w:t xml:space="preserve">Adam Urbański, Dyrektor Sprzedaży TDJ </w:t>
      </w:r>
      <w:proofErr w:type="spellStart"/>
      <w:r w:rsidRPr="006422B3">
        <w:rPr>
          <w:rFonts w:ascii="Poppins" w:eastAsia="Times New Roman" w:hAnsi="Poppins" w:cs="Poppins"/>
          <w:b/>
          <w:bCs/>
          <w:lang w:eastAsia="pl-PL"/>
        </w:rPr>
        <w:t>Estate</w:t>
      </w:r>
      <w:proofErr w:type="spellEnd"/>
    </w:p>
    <w:p w14:paraId="16F89E87"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w:t>
      </w:r>
    </w:p>
    <w:p w14:paraId="5AE657D0"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Pierwsze sześć miesięcy roku przyniosło wyraźne zróżnicowanie sytuacji rynkowej i nastrojów konsumenckich. Początek półrocza upłynął pod znakiem wyraźnie zwiększonej podaży mieszkań, przy jednoczesnym ostudzeniu popytu. Klienci potrzebowali więcej czasu na analizę dostępnych ofert i podjęcie decyzji zakupowej, co przełożyło się na osłabienie dynamiki sprzedaży w całej branży.</w:t>
      </w:r>
    </w:p>
    <w:p w14:paraId="51C3BE4C"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w:t>
      </w:r>
    </w:p>
    <w:p w14:paraId="5D684D7D"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Wraz z początkiem drugiego kwartału sytuacja zaczęła się stopniowo zmieniać. Zauważyliśmy wyraźny wzrost liczby zapytań oraz finalizowanych transakcji, jeśli trend się utrzyma rynek zacznie odzyskiwać równowagę. Warto wspomnieć szczególnie o Krakowie, gdzie w czerwcu po raz pierwszy od wielu miesięcy liczba sprzedanych mieszkań przewyższyła liczbę lokali wprowadzonych na rynek pierwotny. To sygnał potencjalnej zmiany trendu i wzrostu decyzyjności po stronie klientów.</w:t>
      </w:r>
    </w:p>
    <w:p w14:paraId="05719320"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w:t>
      </w:r>
    </w:p>
    <w:p w14:paraId="7125D683"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xml:space="preserve">Z naszych obserwacji wynika, że w pierwszym półroczu dominowały zakupy realizowane z myślą o zaspokojeniu własnych potrzeb mieszkaniowych, zarówno w przypadku pierwszego mieszkania, jak i w kontekście zmian związanych z powiększającą się rodziną czy relokacją. Inwestorzy pozostawali znacznie mniej </w:t>
      </w:r>
      <w:r w:rsidRPr="006422B3">
        <w:rPr>
          <w:rFonts w:ascii="Poppins" w:eastAsia="Times New Roman" w:hAnsi="Poppins" w:cs="Poppins"/>
          <w:lang w:eastAsia="pl-PL"/>
        </w:rPr>
        <w:lastRenderedPageBreak/>
        <w:t>aktywni, a zainteresowanie lokalami z myślą o wynajmie lub ochronie kapitału utrzymywało się na relatywnie niskim poziomie.</w:t>
      </w:r>
    </w:p>
    <w:p w14:paraId="53A36004"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w:t>
      </w:r>
    </w:p>
    <w:p w14:paraId="3DA7602E"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Jeśli chodzi o ceny, w analizowanym okresie obserwowaliśmy stabilizację na niemal wszystkich rynkach, na których prowadzimy sprzedaż. Po ubiegłorocznych wzrostach był to sygnał uspokojenia i pewnej przewidywalności, która dla wielu klientów stanowiła istotny czynnik w procesie decyzyjnym.</w:t>
      </w:r>
    </w:p>
    <w:p w14:paraId="59219FAC"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w:t>
      </w:r>
    </w:p>
    <w:p w14:paraId="79F776F4"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Z perspektywy całej branży pozytywnym impulsem była z pewnością obniżka stóp procentowych. Poprawiła ona zdolność kredytową wielu nabywców i przyczyniła się do zwiększenia liczby transakcji z wykorzystaniem finansowania bankowego. Podczas gdy początek roku zdominowały zakupy finansowane ze środków własnych, końcówka półrocza przyniosła wyraźny wzrost udziału kredytów hipotecznych w strukturze sprzedaży. Istotnym wydarzeniem była również finalizacja decyzji dotyczącej przyszłości rządowego programu wspierającego zakup mieszkań. Choć nie odnosimy się do niej w sposób oceniający, doceniamy fakt, że została jasno zakomunikowana, co zakończyło okres niepewności.</w:t>
      </w:r>
    </w:p>
    <w:p w14:paraId="259B56F1" w14:textId="77777777"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w:t>
      </w:r>
    </w:p>
    <w:p w14:paraId="5490565F" w14:textId="22665656" w:rsidR="006422B3" w:rsidRPr="006422B3" w:rsidRDefault="006422B3" w:rsidP="006422B3">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Na uwagę zasługuje także nowelizacja ustawy w zakresie jawności cen transakcyjnych. Uważamy to za krok w dobrym kierunku, zwiększenie transparentności rynku służy zarówno kupującym, jak i sprzedającym, a jako firma jesteśmy zwolennikami publikowania pełnej oferty.</w:t>
      </w:r>
    </w:p>
    <w:p w14:paraId="646A7033" w14:textId="625C72A7" w:rsidR="006422B3" w:rsidRPr="006422B3" w:rsidRDefault="006422B3" w:rsidP="006422B3">
      <w:pPr>
        <w:spacing w:line="240" w:lineRule="auto"/>
        <w:jc w:val="both"/>
        <w:rPr>
          <w:rFonts w:ascii="Times New Roman" w:eastAsia="Times New Roman" w:hAnsi="Times New Roman"/>
          <w:sz w:val="24"/>
          <w:szCs w:val="24"/>
          <w:lang w:eastAsia="pl-PL"/>
        </w:rPr>
      </w:pPr>
      <w:r w:rsidRPr="005F135D">
        <w:rPr>
          <w:rFonts w:ascii="Poppins" w:eastAsia="Times New Roman" w:hAnsi="Poppins" w:cs="Poppins"/>
          <w:b/>
          <w:bCs/>
          <w:lang w:eastAsia="pl-PL"/>
        </w:rPr>
        <w:br/>
      </w:r>
      <w:r w:rsidRPr="006422B3">
        <w:rPr>
          <w:rFonts w:ascii="Poppins" w:eastAsia="Times New Roman" w:hAnsi="Poppins" w:cs="Poppins"/>
          <w:b/>
          <w:bCs/>
          <w:lang w:eastAsia="pl-PL"/>
        </w:rPr>
        <w:t xml:space="preserve">Tomasz Kaleta, Dyrektor Zarządzający ds. Sprzedaży i Marketingu w </w:t>
      </w:r>
      <w:proofErr w:type="spellStart"/>
      <w:r w:rsidRPr="006422B3">
        <w:rPr>
          <w:rFonts w:ascii="Poppins" w:eastAsia="Times New Roman" w:hAnsi="Poppins" w:cs="Poppins"/>
          <w:b/>
          <w:bCs/>
          <w:lang w:eastAsia="pl-PL"/>
        </w:rPr>
        <w:t>Develii</w:t>
      </w:r>
      <w:proofErr w:type="spellEnd"/>
      <w:r w:rsidRPr="006422B3">
        <w:rPr>
          <w:rFonts w:ascii="Poppins" w:eastAsia="Times New Roman" w:hAnsi="Poppins" w:cs="Poppins"/>
          <w:b/>
          <w:bCs/>
          <w:lang w:eastAsia="pl-PL"/>
        </w:rPr>
        <w:t>   </w:t>
      </w:r>
    </w:p>
    <w:p w14:paraId="625F4E6F" w14:textId="77777777" w:rsidR="006422B3" w:rsidRPr="006422B3" w:rsidRDefault="006422B3" w:rsidP="006422B3">
      <w:pPr>
        <w:spacing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xml:space="preserve">W pierwszym półroczu 2025 r. nieznacznie przekroczyliśmy założenia przyjęte na ten okres. Sprzedaliśmy 1699 mieszkań na podstawie umów deweloperskich i przedwstępnych wobec 1949 w analogicznym okresie ubiegłego roku i przekazaliśmy klientom 1193 lokale – o 13% więcej niż przed rokiem. Podtrzymujemy roczny cel sprzedażowy na poziomie 3100–3300 lokali – bez uwzględnienia przejęcia </w:t>
      </w:r>
      <w:proofErr w:type="spellStart"/>
      <w:r w:rsidRPr="006422B3">
        <w:rPr>
          <w:rFonts w:ascii="Poppins" w:eastAsia="Times New Roman" w:hAnsi="Poppins" w:cs="Poppins"/>
          <w:lang w:eastAsia="pl-PL"/>
        </w:rPr>
        <w:t>Bouygues</w:t>
      </w:r>
      <w:proofErr w:type="spellEnd"/>
      <w:r w:rsidRPr="006422B3">
        <w:rPr>
          <w:rFonts w:ascii="Poppins" w:eastAsia="Times New Roman" w:hAnsi="Poppins" w:cs="Poppins"/>
          <w:lang w:eastAsia="pl-PL"/>
        </w:rPr>
        <w:t xml:space="preserve"> </w:t>
      </w:r>
      <w:proofErr w:type="spellStart"/>
      <w:r w:rsidRPr="006422B3">
        <w:rPr>
          <w:rFonts w:ascii="Poppins" w:eastAsia="Times New Roman" w:hAnsi="Poppins" w:cs="Poppins"/>
          <w:lang w:eastAsia="pl-PL"/>
        </w:rPr>
        <w:t>Immobilier</w:t>
      </w:r>
      <w:proofErr w:type="spellEnd"/>
      <w:r w:rsidRPr="006422B3">
        <w:rPr>
          <w:rFonts w:ascii="Poppins" w:eastAsia="Times New Roman" w:hAnsi="Poppins" w:cs="Poppins"/>
          <w:lang w:eastAsia="pl-PL"/>
        </w:rPr>
        <w:t xml:space="preserve"> Polska, którego finalizacja istotnie zwiększyła nasz potencjał sprzedażowy w kolejnych latach.</w:t>
      </w:r>
    </w:p>
    <w:p w14:paraId="7D50E677" w14:textId="77777777" w:rsidR="006422B3" w:rsidRPr="005F135D" w:rsidRDefault="006422B3" w:rsidP="006422B3">
      <w:pPr>
        <w:spacing w:line="240" w:lineRule="auto"/>
        <w:jc w:val="both"/>
        <w:rPr>
          <w:rFonts w:ascii="Poppins" w:eastAsia="Times New Roman" w:hAnsi="Poppins" w:cs="Poppins"/>
          <w:lang w:eastAsia="pl-PL"/>
        </w:rPr>
      </w:pPr>
      <w:r w:rsidRPr="006422B3">
        <w:rPr>
          <w:rFonts w:ascii="Poppins" w:eastAsia="Times New Roman" w:hAnsi="Poppins" w:cs="Poppins"/>
          <w:lang w:eastAsia="pl-PL"/>
        </w:rPr>
        <w:t>Choć obserwujemy, że klienci nadal ostrożnie podejmują decyzje zakupowe, spodziewamy się, że pozytywne sygnały makroekonomiczne - m.in. w postaci obniżek stóp procentowych - przełożą się na wzrost ich aktywności w drugiej połowie roku i będą wspierać stopniową odbudowę popytu. Stabilizacja cen oraz większa przewidywalność kosztów finansowania powinny sprzyjać zarówno stronie popytowej, jak i podażowej.</w:t>
      </w:r>
    </w:p>
    <w:p w14:paraId="3E817A64" w14:textId="77777777"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b/>
          <w:bCs/>
          <w:lang w:eastAsia="pl-PL"/>
        </w:rPr>
        <w:t xml:space="preserve">Mirosław Bednarek, </w:t>
      </w:r>
      <w:proofErr w:type="spellStart"/>
      <w:r w:rsidRPr="006422B3">
        <w:rPr>
          <w:rFonts w:ascii="Poppins" w:eastAsia="Times New Roman" w:hAnsi="Poppins" w:cs="Poppins"/>
          <w:b/>
          <w:bCs/>
          <w:lang w:eastAsia="pl-PL"/>
        </w:rPr>
        <w:t>Regional</w:t>
      </w:r>
      <w:proofErr w:type="spellEnd"/>
      <w:r w:rsidRPr="006422B3">
        <w:rPr>
          <w:rFonts w:ascii="Poppins" w:eastAsia="Times New Roman" w:hAnsi="Poppins" w:cs="Poppins"/>
          <w:b/>
          <w:bCs/>
          <w:lang w:eastAsia="pl-PL"/>
        </w:rPr>
        <w:t xml:space="preserve"> Business </w:t>
      </w:r>
      <w:proofErr w:type="spellStart"/>
      <w:r w:rsidRPr="006422B3">
        <w:rPr>
          <w:rFonts w:ascii="Poppins" w:eastAsia="Times New Roman" w:hAnsi="Poppins" w:cs="Poppins"/>
          <w:b/>
          <w:bCs/>
          <w:lang w:eastAsia="pl-PL"/>
        </w:rPr>
        <w:t>Director</w:t>
      </w:r>
      <w:proofErr w:type="spellEnd"/>
      <w:r w:rsidRPr="006422B3">
        <w:rPr>
          <w:rFonts w:ascii="Poppins" w:eastAsia="Times New Roman" w:hAnsi="Poppins" w:cs="Poppins"/>
          <w:b/>
          <w:bCs/>
          <w:lang w:eastAsia="pl-PL"/>
        </w:rPr>
        <w:t xml:space="preserve">, Prezes Zarządu </w:t>
      </w:r>
      <w:proofErr w:type="spellStart"/>
      <w:r w:rsidRPr="006422B3">
        <w:rPr>
          <w:rFonts w:ascii="Poppins" w:eastAsia="Times New Roman" w:hAnsi="Poppins" w:cs="Poppins"/>
          <w:b/>
          <w:bCs/>
          <w:lang w:eastAsia="pl-PL"/>
        </w:rPr>
        <w:t>Matexi</w:t>
      </w:r>
      <w:proofErr w:type="spellEnd"/>
      <w:r w:rsidRPr="006422B3">
        <w:rPr>
          <w:rFonts w:ascii="Poppins" w:eastAsia="Times New Roman" w:hAnsi="Poppins" w:cs="Poppins"/>
          <w:b/>
          <w:bCs/>
          <w:lang w:eastAsia="pl-PL"/>
        </w:rPr>
        <w:t xml:space="preserve"> Polska</w:t>
      </w:r>
    </w:p>
    <w:p w14:paraId="084121E0" w14:textId="77777777"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b/>
          <w:bCs/>
          <w:u w:val="single"/>
          <w:lang w:eastAsia="pl-PL"/>
        </w:rPr>
        <w:lastRenderedPageBreak/>
        <w:br/>
      </w:r>
      <w:r w:rsidRPr="006422B3">
        <w:rPr>
          <w:rFonts w:ascii="Poppins" w:eastAsia="Times New Roman" w:hAnsi="Poppins" w:cs="Poppins"/>
          <w:lang w:eastAsia="pl-PL"/>
        </w:rPr>
        <w:t xml:space="preserve">Pierwsza połowa 2025 roku pokazała, że popyt na mieszkania utrzymuje się na stabilnym poziomie, a drugi kwartał przyniósł wyraźny wzrost aktywności zakupowej. W </w:t>
      </w:r>
      <w:proofErr w:type="spellStart"/>
      <w:r w:rsidRPr="006422B3">
        <w:rPr>
          <w:rFonts w:ascii="Poppins" w:eastAsia="Times New Roman" w:hAnsi="Poppins" w:cs="Poppins"/>
          <w:lang w:eastAsia="pl-PL"/>
        </w:rPr>
        <w:t>Matexi</w:t>
      </w:r>
      <w:proofErr w:type="spellEnd"/>
      <w:r w:rsidRPr="006422B3">
        <w:rPr>
          <w:rFonts w:ascii="Poppins" w:eastAsia="Times New Roman" w:hAnsi="Poppins" w:cs="Poppins"/>
          <w:lang w:eastAsia="pl-PL"/>
        </w:rPr>
        <w:t xml:space="preserve"> Polska zawarliśmy w tym okresie 99 umów deweloperskich – to blisko 40% więcej niż w pierwszym kwartale oraz w analogicznym okresie ubiegłego roku. Naszym zdaniem na ten pozytywny wynik wpłynęły przede wszystkim pierwsze sygnały o poprawiającej się dostępności finansowania, ale również fakt, że wielu klientów przestało już liczyć na pojawienie się nowego programu rządowego i zdecydowało się na zakup mieszkania w oparciu o realną ocenę sytuacji rynkowej.</w:t>
      </w:r>
    </w:p>
    <w:p w14:paraId="45BD5628" w14:textId="77777777" w:rsidR="005F135D" w:rsidRDefault="005F135D" w:rsidP="005F135D">
      <w:pPr>
        <w:shd w:val="clear" w:color="auto" w:fill="FFFFFF"/>
        <w:spacing w:after="0" w:line="240" w:lineRule="auto"/>
        <w:jc w:val="both"/>
        <w:rPr>
          <w:rFonts w:ascii="Poppins" w:eastAsia="Times New Roman" w:hAnsi="Poppins" w:cs="Poppins"/>
          <w:lang w:eastAsia="pl-PL"/>
        </w:rPr>
      </w:pPr>
      <w:r w:rsidRPr="006422B3">
        <w:rPr>
          <w:rFonts w:ascii="Poppins" w:eastAsia="Times New Roman" w:hAnsi="Poppins" w:cs="Poppins"/>
          <w:lang w:eastAsia="pl-PL"/>
        </w:rPr>
        <w:t>Cieszy nas również bardzo dobra reakcja rynku na nowe inwestycje – „Sady Żoliborz II” i „Bukowińska Mokotów”. Potwierdza to skuteczność naszej strategii, w której stawiamy na atrakcyjne, miejskie lokalizacje oraz wysoką jakość realizacji.</w:t>
      </w:r>
    </w:p>
    <w:p w14:paraId="78D970E6" w14:textId="77777777"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p>
    <w:p w14:paraId="5F3CE747" w14:textId="0AC8BBD0" w:rsidR="005F135D" w:rsidRPr="006422B3" w:rsidRDefault="005F135D" w:rsidP="005F135D">
      <w:pPr>
        <w:shd w:val="clear" w:color="auto" w:fill="FFFFFF"/>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W pierwszym półroczu 2025 roku sprzedaliśmy łącznie 170 mieszkań, a klientom przekazaliśmy klucze do 154 lokali – ponad dwukrotnie więcej niż w analogicznym okresie 2024 r. Równolegle rozwijamy działalność w obszarze PRS – prowadzimy rozmowy dotyczące transakcji obejmującej ponad 400 mieszkań.</w:t>
      </w:r>
      <w:r w:rsidRPr="005F135D">
        <w:rPr>
          <w:rFonts w:ascii="Times New Roman" w:eastAsia="Times New Roman" w:hAnsi="Times New Roman"/>
          <w:sz w:val="24"/>
          <w:szCs w:val="24"/>
          <w:lang w:eastAsia="pl-PL"/>
        </w:rPr>
        <w:br/>
      </w:r>
    </w:p>
    <w:p w14:paraId="23A663E2" w14:textId="77777777" w:rsidR="006422B3" w:rsidRPr="006422B3" w:rsidRDefault="006422B3" w:rsidP="006422B3">
      <w:pPr>
        <w:spacing w:line="240" w:lineRule="auto"/>
        <w:jc w:val="both"/>
        <w:rPr>
          <w:rFonts w:ascii="Times New Roman" w:eastAsia="Times New Roman" w:hAnsi="Times New Roman"/>
          <w:sz w:val="24"/>
          <w:szCs w:val="24"/>
          <w:lang w:eastAsia="pl-PL"/>
        </w:rPr>
      </w:pPr>
      <w:r w:rsidRPr="006422B3">
        <w:rPr>
          <w:rFonts w:ascii="Poppins" w:eastAsia="Times New Roman" w:hAnsi="Poppins" w:cs="Poppins"/>
          <w:b/>
          <w:bCs/>
          <w:lang w:eastAsia="pl-PL"/>
        </w:rPr>
        <w:t>Bartosz Kuźniar, Prezes Zarządu Lokum Deweloper</w:t>
      </w:r>
    </w:p>
    <w:p w14:paraId="4152AA4C" w14:textId="77777777" w:rsidR="006422B3" w:rsidRPr="006422B3" w:rsidRDefault="006422B3" w:rsidP="006422B3">
      <w:pPr>
        <w:spacing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Warunki rynkowe w pierwszej połowie roku wciąż nie sprzyjały nabywaniu nieruchomości. Wysokie stopy procentowe i wynikająca z nich ograniczona dostępność kredytów hipotecznych powodowały, że znaczna część klientów nadal wstrzymywała się z decyzją o zakupie lokum. Naszą główną grupę nabywców stanowiły osoby kupujące duże mieszkania za gotówkę, z myślą o własnych potrzebach. Ostatnie obniżki stóp procentowych to krok w dobrym kierunku, choć ich wpływ na realny popyt jest jeszcze niewielki. Obserwujemy pierwsze oznaki ożywienia na rynku, związane ze stopniowo rosnącą zdolnością kredytową klientów. Niemniej dopiero kolejne obniżki stóp oraz stabilizacja polityki banków w zakresie marż mogą odczuwalnie poprawić dostępność takiego finansowania zakupu i zauważalnie przełożyć się na zwiększenie sprzedaży nieruchomości. </w:t>
      </w:r>
    </w:p>
    <w:p w14:paraId="1B5BED3E" w14:textId="77777777" w:rsidR="006422B3" w:rsidRPr="006422B3" w:rsidRDefault="006422B3" w:rsidP="006422B3">
      <w:pPr>
        <w:spacing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Pierwsze półrocze nie przyniosło także istotnych zmian w polityce mieszkaniowej, które mogłyby usprawnić procedury administracyjne, skracając czas potrzebny na uzyskiwanie pozwoleń na budowę. W maju została wprowadzona nowelizacja dotycząca jawności cen. Odbieramy pozytywnie takie regulacje, jednak nie są to dla nas nowe praktyki, ponieważ zarówno jawność cen, jak i prezentowanie powierzchni lokali bez wliczania do niej powierzchni pod ściankami działowymi stosujemy od początku działalności. Traktujemy to jako nieodzowny element budowania rzetelnej oferty i zaufania klientów. </w:t>
      </w:r>
    </w:p>
    <w:p w14:paraId="30A92FE0" w14:textId="77777777" w:rsidR="006422B3" w:rsidRPr="006422B3" w:rsidRDefault="006422B3" w:rsidP="006422B3">
      <w:pPr>
        <w:spacing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lastRenderedPageBreak/>
        <w:t xml:space="preserve">W odpowiedzi na pierwsze sygnały zwiastujące pozytywne zmiany na rynku, związane z obniżeniem stóp procentowych, w czerwcu rozszerzyliśmy naszą ofertę o nowe mieszkania we Wrocławiu. Do sprzedaży trafiło 108 lokali w inwestycji Lokum la Vida na </w:t>
      </w:r>
      <w:proofErr w:type="spellStart"/>
      <w:r w:rsidRPr="006422B3">
        <w:rPr>
          <w:rFonts w:ascii="Poppins" w:eastAsia="Times New Roman" w:hAnsi="Poppins" w:cs="Poppins"/>
          <w:lang w:eastAsia="pl-PL"/>
        </w:rPr>
        <w:t>Sołtysowicach</w:t>
      </w:r>
      <w:proofErr w:type="spellEnd"/>
      <w:r w:rsidRPr="006422B3">
        <w:rPr>
          <w:rFonts w:ascii="Poppins" w:eastAsia="Times New Roman" w:hAnsi="Poppins" w:cs="Poppins"/>
          <w:lang w:eastAsia="pl-PL"/>
        </w:rPr>
        <w:t xml:space="preserve"> oraz kolejna pula mieszkań na osiedlu Lokum Porto na Starym Mieście. Obecnie koncentrujemy się na finalizacji rozpoczętych projektów, by w momencie wyraźnej poprawy zdolności nabywczych naszych klientów, móc zaoferować im bardzo atrakcyjną opcję w postaci gotowych mieszkań. Przygotowujemy również nowe inwestycje, jednak ich uruchomienie opóźniają przewlekłe procedury administracyjne. Mimo to z optymizmem patrzymy w przyszłość. Rosnące wynagrodzenia Polaków oraz łagodzenie polityki monetarnej dają podstawy do przewidywania poprawy sytuacji na rynku nieruchomości.</w:t>
      </w:r>
    </w:p>
    <w:p w14:paraId="659E81BC" w14:textId="77777777" w:rsidR="006422B3" w:rsidRPr="006422B3" w:rsidRDefault="006422B3" w:rsidP="006422B3">
      <w:pPr>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b/>
          <w:bCs/>
          <w:lang w:eastAsia="pl-PL"/>
        </w:rPr>
        <w:t xml:space="preserve">Tomasz Łapiński, Prezes Zarządu i Dyrektor Zarządzający Inwestycjami Mieszkaniowymi w </w:t>
      </w:r>
      <w:proofErr w:type="spellStart"/>
      <w:r w:rsidRPr="006422B3">
        <w:rPr>
          <w:rFonts w:ascii="Poppins" w:eastAsia="Times New Roman" w:hAnsi="Poppins" w:cs="Poppins"/>
          <w:b/>
          <w:bCs/>
          <w:lang w:eastAsia="pl-PL"/>
        </w:rPr>
        <w:t>Cordia</w:t>
      </w:r>
      <w:proofErr w:type="spellEnd"/>
      <w:r w:rsidRPr="006422B3">
        <w:rPr>
          <w:rFonts w:ascii="Poppins" w:eastAsia="Times New Roman" w:hAnsi="Poppins" w:cs="Poppins"/>
          <w:b/>
          <w:bCs/>
          <w:lang w:eastAsia="pl-PL"/>
        </w:rPr>
        <w:t xml:space="preserve"> Polska</w:t>
      </w:r>
    </w:p>
    <w:p w14:paraId="0CE3EF94" w14:textId="77777777" w:rsidR="006422B3" w:rsidRPr="006422B3" w:rsidRDefault="006422B3" w:rsidP="006422B3">
      <w:pPr>
        <w:spacing w:after="0" w:line="240" w:lineRule="auto"/>
        <w:rPr>
          <w:rFonts w:ascii="Times New Roman" w:eastAsia="Times New Roman" w:hAnsi="Times New Roman"/>
          <w:sz w:val="24"/>
          <w:szCs w:val="24"/>
          <w:lang w:eastAsia="pl-PL"/>
        </w:rPr>
      </w:pPr>
    </w:p>
    <w:p w14:paraId="1F6AB1EC" w14:textId="77777777" w:rsidR="006422B3" w:rsidRPr="006422B3" w:rsidRDefault="006422B3" w:rsidP="006422B3">
      <w:pPr>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Pierwsze półrocze 2025 r. oceniamy jako stabilne, z umiarkowanym popytem na mieszkania z rynku pierwotnego. Z uwagi na fakt, że mamy obecnie dużą podaż lokali, przekłada się to na długie procesy decyzyjne po stronie klientów, którzy mają w czym wybierać. Z drugiej strony ostrożni są też deweloperzy we wprowadzaniu nowych inwestycji.</w:t>
      </w:r>
    </w:p>
    <w:p w14:paraId="5B386434" w14:textId="77777777" w:rsidR="006422B3" w:rsidRPr="006422B3" w:rsidRDefault="006422B3" w:rsidP="006422B3">
      <w:pPr>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w:t>
      </w:r>
    </w:p>
    <w:p w14:paraId="1D6904F2" w14:textId="77777777" w:rsidR="006422B3" w:rsidRPr="006422B3" w:rsidRDefault="006422B3" w:rsidP="006422B3">
      <w:pPr>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Drogie kredyty wciąż determinują zakup mieszkań. Pojawiły się wprawdzie pierwsze obniżki stóp RPP i według BIK popyt na kredyty wzrósł od maja br., ale trudno przewidzieć, czy to trwały trend. Jeśli się utrzyma, to będziemy mogli liczyć na długookresowe ożywienie popytu w nadchodzących kwartałach, szczególnie wśród klientów wspomagających zakup mieszkania kredytem.</w:t>
      </w:r>
    </w:p>
    <w:p w14:paraId="60EF7A86" w14:textId="77777777" w:rsidR="006422B3" w:rsidRPr="006422B3" w:rsidRDefault="006422B3" w:rsidP="006422B3">
      <w:pPr>
        <w:spacing w:after="0" w:line="240" w:lineRule="auto"/>
        <w:rPr>
          <w:rFonts w:ascii="Times New Roman" w:eastAsia="Times New Roman" w:hAnsi="Times New Roman"/>
          <w:sz w:val="24"/>
          <w:szCs w:val="24"/>
          <w:lang w:eastAsia="pl-PL"/>
        </w:rPr>
      </w:pPr>
    </w:p>
    <w:p w14:paraId="5E3C52E0" w14:textId="77777777" w:rsidR="006422B3" w:rsidRPr="006422B3" w:rsidRDefault="006422B3" w:rsidP="006422B3">
      <w:pPr>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 xml:space="preserve">Oferta </w:t>
      </w:r>
      <w:proofErr w:type="spellStart"/>
      <w:r w:rsidRPr="006422B3">
        <w:rPr>
          <w:rFonts w:ascii="Poppins" w:eastAsia="Times New Roman" w:hAnsi="Poppins" w:cs="Poppins"/>
          <w:lang w:eastAsia="pl-PL"/>
        </w:rPr>
        <w:t>Cordia</w:t>
      </w:r>
      <w:proofErr w:type="spellEnd"/>
      <w:r w:rsidRPr="006422B3">
        <w:rPr>
          <w:rFonts w:ascii="Poppins" w:eastAsia="Times New Roman" w:hAnsi="Poppins" w:cs="Poppins"/>
          <w:lang w:eastAsia="pl-PL"/>
        </w:rPr>
        <w:t xml:space="preserve"> Polska w pierwszym półroczu br. poszerzyła się o lokale z dwóch nowych inwestycji. W ramach projektu </w:t>
      </w:r>
      <w:proofErr w:type="spellStart"/>
      <w:r w:rsidRPr="006422B3">
        <w:rPr>
          <w:rFonts w:ascii="Poppins" w:eastAsia="Times New Roman" w:hAnsi="Poppins" w:cs="Poppins"/>
          <w:lang w:eastAsia="pl-PL"/>
        </w:rPr>
        <w:t>Flatta</w:t>
      </w:r>
      <w:proofErr w:type="spellEnd"/>
      <w:r w:rsidRPr="006422B3">
        <w:rPr>
          <w:rFonts w:ascii="Poppins" w:eastAsia="Times New Roman" w:hAnsi="Poppins" w:cs="Poppins"/>
          <w:lang w:eastAsia="pl-PL"/>
        </w:rPr>
        <w:t xml:space="preserve"> Wilanów w Warszawie pojawiło się na rynku 14 apartamentów z segmentu </w:t>
      </w:r>
      <w:proofErr w:type="spellStart"/>
      <w:r w:rsidRPr="006422B3">
        <w:rPr>
          <w:rFonts w:ascii="Poppins" w:eastAsia="Times New Roman" w:hAnsi="Poppins" w:cs="Poppins"/>
          <w:lang w:eastAsia="pl-PL"/>
        </w:rPr>
        <w:t>premium</w:t>
      </w:r>
      <w:proofErr w:type="spellEnd"/>
      <w:r w:rsidRPr="006422B3">
        <w:rPr>
          <w:rFonts w:ascii="Poppins" w:eastAsia="Times New Roman" w:hAnsi="Poppins" w:cs="Poppins"/>
          <w:lang w:eastAsia="pl-PL"/>
        </w:rPr>
        <w:t>. Rozpoczęliśmy też budowę drugiego etapu osiedla Modena w Poznaniu, który obejmuje 199 mieszkań i jeden lokal usługowy. </w:t>
      </w:r>
    </w:p>
    <w:p w14:paraId="4B44404E" w14:textId="77777777" w:rsidR="006422B3" w:rsidRPr="006422B3" w:rsidRDefault="006422B3" w:rsidP="006422B3">
      <w:pPr>
        <w:spacing w:after="0" w:line="240" w:lineRule="auto"/>
        <w:rPr>
          <w:rFonts w:ascii="Times New Roman" w:eastAsia="Times New Roman" w:hAnsi="Times New Roman"/>
          <w:sz w:val="24"/>
          <w:szCs w:val="24"/>
          <w:lang w:eastAsia="pl-PL"/>
        </w:rPr>
      </w:pPr>
    </w:p>
    <w:p w14:paraId="1463BD84" w14:textId="77777777" w:rsidR="006422B3" w:rsidRPr="006422B3" w:rsidRDefault="006422B3" w:rsidP="006422B3">
      <w:pPr>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Pod koniec pierwszego półrocza zaobserwowaliśmy też rosnące zainteresowanie naszymi apartamentami w inwestycjach nadmorskich. Popyt na nie zazwyczaj ożywia się gdy zbliża się sezon urlopowy, a nabywają je głównie klienci gotówkowi. </w:t>
      </w:r>
    </w:p>
    <w:p w14:paraId="516A27E0" w14:textId="77777777" w:rsidR="006422B3" w:rsidRPr="006422B3" w:rsidRDefault="006422B3" w:rsidP="006422B3">
      <w:pPr>
        <w:spacing w:after="0" w:line="240" w:lineRule="auto"/>
        <w:rPr>
          <w:rFonts w:ascii="Times New Roman" w:eastAsia="Times New Roman" w:hAnsi="Times New Roman"/>
          <w:sz w:val="24"/>
          <w:szCs w:val="24"/>
          <w:lang w:eastAsia="pl-PL"/>
        </w:rPr>
      </w:pPr>
    </w:p>
    <w:p w14:paraId="747F2D4D" w14:textId="51D9C4BF" w:rsidR="00421400" w:rsidRPr="005F135D" w:rsidRDefault="006422B3" w:rsidP="005F135D">
      <w:pPr>
        <w:spacing w:after="0" w:line="240" w:lineRule="auto"/>
        <w:jc w:val="both"/>
        <w:rPr>
          <w:rFonts w:ascii="Times New Roman" w:eastAsia="Times New Roman" w:hAnsi="Times New Roman"/>
          <w:sz w:val="24"/>
          <w:szCs w:val="24"/>
          <w:lang w:eastAsia="pl-PL"/>
        </w:rPr>
      </w:pPr>
      <w:r w:rsidRPr="006422B3">
        <w:rPr>
          <w:rFonts w:ascii="Poppins" w:eastAsia="Times New Roman" w:hAnsi="Poppins" w:cs="Poppins"/>
          <w:lang w:eastAsia="pl-PL"/>
        </w:rPr>
        <w:t>W następnym półroczu planujemy większe wprowadzenia na rynek pierwotny w segmencie wielorodzinnym popularnym oraz domów w Warszawie.</w:t>
      </w:r>
    </w:p>
    <w:sectPr w:rsidR="00421400" w:rsidRPr="005F135D" w:rsidSect="00C80D82">
      <w:headerReference w:type="default" r:id="rId11"/>
      <w:pgSz w:w="11906" w:h="16838"/>
      <w:pgMar w:top="1417" w:right="1417" w:bottom="1417" w:left="1276"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D9F7" w14:textId="77777777" w:rsidR="00EC1C26" w:rsidRDefault="00EC1C26" w:rsidP="00E533BD">
      <w:pPr>
        <w:spacing w:after="0" w:line="240" w:lineRule="auto"/>
      </w:pPr>
      <w:r>
        <w:separator/>
      </w:r>
    </w:p>
  </w:endnote>
  <w:endnote w:type="continuationSeparator" w:id="0">
    <w:p w14:paraId="5A6BFB58" w14:textId="77777777" w:rsidR="00EC1C26" w:rsidRDefault="00EC1C26" w:rsidP="00E5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oppins">
    <w:panose1 w:val="00000500000000000000"/>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8AC4" w14:textId="77777777" w:rsidR="00EC1C26" w:rsidRDefault="00EC1C26" w:rsidP="00E533BD">
      <w:pPr>
        <w:spacing w:after="0" w:line="240" w:lineRule="auto"/>
      </w:pPr>
      <w:r>
        <w:separator/>
      </w:r>
    </w:p>
  </w:footnote>
  <w:footnote w:type="continuationSeparator" w:id="0">
    <w:p w14:paraId="063BDB9F" w14:textId="77777777" w:rsidR="00EC1C26" w:rsidRDefault="00EC1C26" w:rsidP="00E53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8FA9" w14:textId="47FD6DEF" w:rsidR="00E533BD" w:rsidRDefault="00820813" w:rsidP="00D34347">
    <w:pPr>
      <w:pStyle w:val="Nagwek"/>
      <w:tabs>
        <w:tab w:val="clear" w:pos="9072"/>
      </w:tabs>
    </w:pPr>
    <w:r>
      <w:rPr>
        <w:noProof/>
      </w:rPr>
      <w:drawing>
        <wp:anchor distT="0" distB="0" distL="114300" distR="114300" simplePos="0" relativeHeight="251657728" behindDoc="0" locked="0" layoutInCell="1" allowOverlap="1" wp14:anchorId="5028D794" wp14:editId="179B9DB2">
          <wp:simplePos x="0" y="0"/>
          <wp:positionH relativeFrom="page">
            <wp:posOffset>28575</wp:posOffset>
          </wp:positionH>
          <wp:positionV relativeFrom="paragraph">
            <wp:posOffset>-624205</wp:posOffset>
          </wp:positionV>
          <wp:extent cx="7496810" cy="1033145"/>
          <wp:effectExtent l="0" t="0" r="0" b="0"/>
          <wp:wrapThrough wrapText="bothSides">
            <wp:wrapPolygon edited="0">
              <wp:start x="1372" y="4779"/>
              <wp:lineTo x="1098" y="7169"/>
              <wp:lineTo x="878" y="9559"/>
              <wp:lineTo x="878" y="15533"/>
              <wp:lineTo x="9276" y="18321"/>
              <wp:lineTo x="19211" y="19516"/>
              <wp:lineTo x="20693" y="19516"/>
              <wp:lineTo x="20747" y="18321"/>
              <wp:lineTo x="18717" y="11948"/>
              <wp:lineTo x="18826" y="8364"/>
              <wp:lineTo x="16302" y="7567"/>
              <wp:lineTo x="1976" y="4779"/>
              <wp:lineTo x="1372" y="4779"/>
            </wp:wrapPolygon>
          </wp:wrapThrough>
          <wp:docPr id="1" name="Graf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a 3"/>
                  <pic:cNvPicPr/>
                </pic:nvPicPr>
                <pic:blipFill>
                  <a:blip r:embed="rId1"/>
                  <a:srcRect l="7" r="7"/>
                  <a:stretch>
                    <a:fillRect/>
                  </a:stretch>
                </pic:blipFill>
                <pic:spPr>
                  <a:xfrm>
                    <a:off x="0" y="0"/>
                    <a:ext cx="7496810" cy="1033145"/>
                  </a:xfrm>
                  <a:prstGeom prst="rect">
                    <a:avLst/>
                  </a:prstGeom>
                </pic:spPr>
              </pic:pic>
            </a:graphicData>
          </a:graphic>
          <wp14:sizeRelH relativeFrom="margin">
            <wp14:pctWidth>0</wp14:pctWidth>
          </wp14:sizeRelH>
          <wp14:sizeRelV relativeFrom="margin">
            <wp14:pctHeight>0</wp14:pctHeight>
          </wp14:sizeRelV>
        </wp:anchor>
      </w:drawing>
    </w:r>
    <w:r w:rsidR="00D34347">
      <w:tab/>
    </w:r>
    <w:r w:rsidR="00FB7A2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8B4"/>
    <w:multiLevelType w:val="hybridMultilevel"/>
    <w:tmpl w:val="C03A19F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995E5B"/>
    <w:multiLevelType w:val="hybridMultilevel"/>
    <w:tmpl w:val="052CB2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3B4476"/>
    <w:multiLevelType w:val="hybridMultilevel"/>
    <w:tmpl w:val="718A5F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0C6DD8"/>
    <w:multiLevelType w:val="hybridMultilevel"/>
    <w:tmpl w:val="8A7AFF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DC05EB"/>
    <w:multiLevelType w:val="hybridMultilevel"/>
    <w:tmpl w:val="3F446C70"/>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227902"/>
    <w:multiLevelType w:val="hybridMultilevel"/>
    <w:tmpl w:val="4D763F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595094"/>
    <w:multiLevelType w:val="hybridMultilevel"/>
    <w:tmpl w:val="F634B0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2C737C"/>
    <w:multiLevelType w:val="hybridMultilevel"/>
    <w:tmpl w:val="450C4B22"/>
    <w:lvl w:ilvl="0" w:tplc="EBC6B7D0">
      <w:start w:val="1"/>
      <w:numFmt w:val="bullet"/>
      <w:lvlText w:val=""/>
      <w:lvlJc w:val="left"/>
      <w:rPr>
        <w:rFonts w:ascii="Wingdings" w:hAnsi="Wingdings"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841AFA"/>
    <w:multiLevelType w:val="hybridMultilevel"/>
    <w:tmpl w:val="581A67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960139"/>
    <w:multiLevelType w:val="hybridMultilevel"/>
    <w:tmpl w:val="445269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7A31A6"/>
    <w:multiLevelType w:val="hybridMultilevel"/>
    <w:tmpl w:val="CC7EB32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1200E3"/>
    <w:multiLevelType w:val="hybridMultilevel"/>
    <w:tmpl w:val="4CFA63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82154C"/>
    <w:multiLevelType w:val="hybridMultilevel"/>
    <w:tmpl w:val="5DBA42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6124CC"/>
    <w:multiLevelType w:val="hybridMultilevel"/>
    <w:tmpl w:val="B98A96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511A33"/>
    <w:multiLevelType w:val="hybridMultilevel"/>
    <w:tmpl w:val="93AC9B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C753F1"/>
    <w:multiLevelType w:val="hybridMultilevel"/>
    <w:tmpl w:val="258A95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224AFA"/>
    <w:multiLevelType w:val="hybridMultilevel"/>
    <w:tmpl w:val="216231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8521E93"/>
    <w:multiLevelType w:val="hybridMultilevel"/>
    <w:tmpl w:val="3490E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307429"/>
    <w:multiLevelType w:val="hybridMultilevel"/>
    <w:tmpl w:val="36F47A9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B94C9B"/>
    <w:multiLevelType w:val="hybridMultilevel"/>
    <w:tmpl w:val="4DBCB2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894539"/>
    <w:multiLevelType w:val="hybridMultilevel"/>
    <w:tmpl w:val="A2A052F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A311B4"/>
    <w:multiLevelType w:val="hybridMultilevel"/>
    <w:tmpl w:val="92B0CC9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4B2DAB"/>
    <w:multiLevelType w:val="hybridMultilevel"/>
    <w:tmpl w:val="43BAAAE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0B1A7F"/>
    <w:multiLevelType w:val="hybridMultilevel"/>
    <w:tmpl w:val="8670D9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CDB301A"/>
    <w:multiLevelType w:val="hybridMultilevel"/>
    <w:tmpl w:val="2548AB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421020"/>
    <w:multiLevelType w:val="hybridMultilevel"/>
    <w:tmpl w:val="A554F1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AC18BB"/>
    <w:multiLevelType w:val="hybridMultilevel"/>
    <w:tmpl w:val="DB1C49F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7E52A42"/>
    <w:multiLevelType w:val="hybridMultilevel"/>
    <w:tmpl w:val="B91C1DF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8057A2"/>
    <w:multiLevelType w:val="hybridMultilevel"/>
    <w:tmpl w:val="3A28585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FD66F1B"/>
    <w:multiLevelType w:val="hybridMultilevel"/>
    <w:tmpl w:val="4F526C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60381"/>
    <w:multiLevelType w:val="hybridMultilevel"/>
    <w:tmpl w:val="213439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C8165D"/>
    <w:multiLevelType w:val="hybridMultilevel"/>
    <w:tmpl w:val="AA20F76C"/>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7200E2"/>
    <w:multiLevelType w:val="hybridMultilevel"/>
    <w:tmpl w:val="158E3BF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9B7A75"/>
    <w:multiLevelType w:val="hybridMultilevel"/>
    <w:tmpl w:val="5E02D488"/>
    <w:lvl w:ilvl="0" w:tplc="03B0E0EE">
      <w:start w:val="1"/>
      <w:numFmt w:val="bullet"/>
      <w:lvlText w:val=""/>
      <w:lvlJc w:val="left"/>
      <w:rPr>
        <w:rFonts w:ascii="Wingdings" w:hAnsi="Wingdings"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F347F48"/>
    <w:multiLevelType w:val="hybridMultilevel"/>
    <w:tmpl w:val="957054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833C48"/>
    <w:multiLevelType w:val="hybridMultilevel"/>
    <w:tmpl w:val="B59A8C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2C24AF"/>
    <w:multiLevelType w:val="hybridMultilevel"/>
    <w:tmpl w:val="2C7E4C2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0B403AD"/>
    <w:multiLevelType w:val="hybridMultilevel"/>
    <w:tmpl w:val="6C022B1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1360B5"/>
    <w:multiLevelType w:val="hybridMultilevel"/>
    <w:tmpl w:val="AE78BC8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6C95BE6"/>
    <w:multiLevelType w:val="hybridMultilevel"/>
    <w:tmpl w:val="88A0D1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F036C0"/>
    <w:multiLevelType w:val="hybridMultilevel"/>
    <w:tmpl w:val="6256D27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543690"/>
    <w:multiLevelType w:val="hybridMultilevel"/>
    <w:tmpl w:val="DAD6EE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CE1D68"/>
    <w:multiLevelType w:val="hybridMultilevel"/>
    <w:tmpl w:val="CF767B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D81AF6"/>
    <w:multiLevelType w:val="hybridMultilevel"/>
    <w:tmpl w:val="0A780DD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C4C4319"/>
    <w:multiLevelType w:val="hybridMultilevel"/>
    <w:tmpl w:val="9E7C7A3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8F74A8"/>
    <w:multiLevelType w:val="hybridMultilevel"/>
    <w:tmpl w:val="286C3D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9489738">
    <w:abstractNumId w:val="24"/>
  </w:num>
  <w:num w:numId="2" w16cid:durableId="194268971">
    <w:abstractNumId w:val="36"/>
  </w:num>
  <w:num w:numId="3" w16cid:durableId="1996294981">
    <w:abstractNumId w:val="11"/>
  </w:num>
  <w:num w:numId="4" w16cid:durableId="300308053">
    <w:abstractNumId w:val="19"/>
  </w:num>
  <w:num w:numId="5" w16cid:durableId="1357389577">
    <w:abstractNumId w:val="3"/>
  </w:num>
  <w:num w:numId="6" w16cid:durableId="1339506902">
    <w:abstractNumId w:val="15"/>
  </w:num>
  <w:num w:numId="7" w16cid:durableId="257062365">
    <w:abstractNumId w:val="16"/>
  </w:num>
  <w:num w:numId="8" w16cid:durableId="1583221664">
    <w:abstractNumId w:val="18"/>
  </w:num>
  <w:num w:numId="9" w16cid:durableId="450247371">
    <w:abstractNumId w:val="29"/>
  </w:num>
  <w:num w:numId="10" w16cid:durableId="427653437">
    <w:abstractNumId w:val="30"/>
  </w:num>
  <w:num w:numId="11" w16cid:durableId="1773360651">
    <w:abstractNumId w:val="10"/>
  </w:num>
  <w:num w:numId="12" w16cid:durableId="496573247">
    <w:abstractNumId w:val="41"/>
  </w:num>
  <w:num w:numId="13" w16cid:durableId="1876965586">
    <w:abstractNumId w:val="9"/>
  </w:num>
  <w:num w:numId="14" w16cid:durableId="181552279">
    <w:abstractNumId w:val="32"/>
  </w:num>
  <w:num w:numId="15" w16cid:durableId="296641092">
    <w:abstractNumId w:val="31"/>
  </w:num>
  <w:num w:numId="16" w16cid:durableId="101654156">
    <w:abstractNumId w:val="5"/>
  </w:num>
  <w:num w:numId="17" w16cid:durableId="503933696">
    <w:abstractNumId w:val="2"/>
  </w:num>
  <w:num w:numId="18" w16cid:durableId="908803870">
    <w:abstractNumId w:val="27"/>
  </w:num>
  <w:num w:numId="19" w16cid:durableId="833911193">
    <w:abstractNumId w:val="14"/>
  </w:num>
  <w:num w:numId="20" w16cid:durableId="1140686384">
    <w:abstractNumId w:val="23"/>
  </w:num>
  <w:num w:numId="21" w16cid:durableId="1466503796">
    <w:abstractNumId w:val="7"/>
  </w:num>
  <w:num w:numId="22" w16cid:durableId="652028561">
    <w:abstractNumId w:val="33"/>
  </w:num>
  <w:num w:numId="23" w16cid:durableId="1223523520">
    <w:abstractNumId w:val="40"/>
  </w:num>
  <w:num w:numId="24" w16cid:durableId="749471983">
    <w:abstractNumId w:val="44"/>
  </w:num>
  <w:num w:numId="25" w16cid:durableId="2074153349">
    <w:abstractNumId w:val="17"/>
  </w:num>
  <w:num w:numId="26" w16cid:durableId="1574773772">
    <w:abstractNumId w:val="4"/>
  </w:num>
  <w:num w:numId="27" w16cid:durableId="442653082">
    <w:abstractNumId w:val="21"/>
  </w:num>
  <w:num w:numId="28" w16cid:durableId="642075989">
    <w:abstractNumId w:val="43"/>
  </w:num>
  <w:num w:numId="29" w16cid:durableId="1927495655">
    <w:abstractNumId w:val="37"/>
  </w:num>
  <w:num w:numId="30" w16cid:durableId="848058974">
    <w:abstractNumId w:val="0"/>
  </w:num>
  <w:num w:numId="31" w16cid:durableId="269439718">
    <w:abstractNumId w:val="1"/>
  </w:num>
  <w:num w:numId="32" w16cid:durableId="188107392">
    <w:abstractNumId w:val="8"/>
  </w:num>
  <w:num w:numId="33" w16cid:durableId="1467746512">
    <w:abstractNumId w:val="39"/>
  </w:num>
  <w:num w:numId="34" w16cid:durableId="1307705682">
    <w:abstractNumId w:val="20"/>
  </w:num>
  <w:num w:numId="35" w16cid:durableId="1454519103">
    <w:abstractNumId w:val="45"/>
  </w:num>
  <w:num w:numId="36" w16cid:durableId="1106266809">
    <w:abstractNumId w:val="34"/>
  </w:num>
  <w:num w:numId="37" w16cid:durableId="1924218077">
    <w:abstractNumId w:val="25"/>
  </w:num>
  <w:num w:numId="38" w16cid:durableId="499274804">
    <w:abstractNumId w:val="28"/>
  </w:num>
  <w:num w:numId="39" w16cid:durableId="341010904">
    <w:abstractNumId w:val="22"/>
  </w:num>
  <w:num w:numId="40" w16cid:durableId="1068725704">
    <w:abstractNumId w:val="6"/>
  </w:num>
  <w:num w:numId="41" w16cid:durableId="1381709958">
    <w:abstractNumId w:val="26"/>
  </w:num>
  <w:num w:numId="42" w16cid:durableId="629630272">
    <w:abstractNumId w:val="42"/>
  </w:num>
  <w:num w:numId="43" w16cid:durableId="476607544">
    <w:abstractNumId w:val="12"/>
  </w:num>
  <w:num w:numId="44" w16cid:durableId="1308168480">
    <w:abstractNumId w:val="38"/>
  </w:num>
  <w:num w:numId="45" w16cid:durableId="1908882021">
    <w:abstractNumId w:val="35"/>
  </w:num>
  <w:num w:numId="46" w16cid:durableId="4801962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BD"/>
    <w:rsid w:val="000009A4"/>
    <w:rsid w:val="00000F85"/>
    <w:rsid w:val="00001500"/>
    <w:rsid w:val="00001618"/>
    <w:rsid w:val="0000377A"/>
    <w:rsid w:val="000061D9"/>
    <w:rsid w:val="00012043"/>
    <w:rsid w:val="000163FF"/>
    <w:rsid w:val="000204D9"/>
    <w:rsid w:val="00021BAF"/>
    <w:rsid w:val="0002392F"/>
    <w:rsid w:val="000248FB"/>
    <w:rsid w:val="0002568A"/>
    <w:rsid w:val="000359DE"/>
    <w:rsid w:val="00040561"/>
    <w:rsid w:val="00041588"/>
    <w:rsid w:val="0004178E"/>
    <w:rsid w:val="00042693"/>
    <w:rsid w:val="000427F9"/>
    <w:rsid w:val="00043A71"/>
    <w:rsid w:val="00043EF5"/>
    <w:rsid w:val="0004533B"/>
    <w:rsid w:val="00045EB5"/>
    <w:rsid w:val="00047D9E"/>
    <w:rsid w:val="00051D29"/>
    <w:rsid w:val="00051F55"/>
    <w:rsid w:val="000522FB"/>
    <w:rsid w:val="0005728A"/>
    <w:rsid w:val="00063340"/>
    <w:rsid w:val="000666A3"/>
    <w:rsid w:val="00070DDC"/>
    <w:rsid w:val="00072A06"/>
    <w:rsid w:val="00083879"/>
    <w:rsid w:val="00084851"/>
    <w:rsid w:val="000855AF"/>
    <w:rsid w:val="00087BA8"/>
    <w:rsid w:val="00091459"/>
    <w:rsid w:val="00091576"/>
    <w:rsid w:val="00092124"/>
    <w:rsid w:val="00092185"/>
    <w:rsid w:val="000926AA"/>
    <w:rsid w:val="00094672"/>
    <w:rsid w:val="00095D09"/>
    <w:rsid w:val="000A3DA3"/>
    <w:rsid w:val="000A48D2"/>
    <w:rsid w:val="000A55C7"/>
    <w:rsid w:val="000B1E12"/>
    <w:rsid w:val="000B4007"/>
    <w:rsid w:val="000B6245"/>
    <w:rsid w:val="000B6BC9"/>
    <w:rsid w:val="000B7B10"/>
    <w:rsid w:val="000C13E1"/>
    <w:rsid w:val="000C57B9"/>
    <w:rsid w:val="000C6B1E"/>
    <w:rsid w:val="000C7259"/>
    <w:rsid w:val="000D3A5F"/>
    <w:rsid w:val="000D488C"/>
    <w:rsid w:val="000D5BF1"/>
    <w:rsid w:val="000E2E07"/>
    <w:rsid w:val="000E302C"/>
    <w:rsid w:val="000E70A9"/>
    <w:rsid w:val="000F03F2"/>
    <w:rsid w:val="000F2411"/>
    <w:rsid w:val="000F24FD"/>
    <w:rsid w:val="000F398A"/>
    <w:rsid w:val="000F57E3"/>
    <w:rsid w:val="000F6199"/>
    <w:rsid w:val="000F7803"/>
    <w:rsid w:val="001004FE"/>
    <w:rsid w:val="00100FBA"/>
    <w:rsid w:val="00103880"/>
    <w:rsid w:val="00103C8B"/>
    <w:rsid w:val="00105E11"/>
    <w:rsid w:val="00105F19"/>
    <w:rsid w:val="00110459"/>
    <w:rsid w:val="001109F2"/>
    <w:rsid w:val="00115C3A"/>
    <w:rsid w:val="001214F5"/>
    <w:rsid w:val="00122E64"/>
    <w:rsid w:val="00130EAC"/>
    <w:rsid w:val="00134FC9"/>
    <w:rsid w:val="00135487"/>
    <w:rsid w:val="001355A7"/>
    <w:rsid w:val="0014003A"/>
    <w:rsid w:val="0014675E"/>
    <w:rsid w:val="00152036"/>
    <w:rsid w:val="00160B41"/>
    <w:rsid w:val="0016166F"/>
    <w:rsid w:val="00161D11"/>
    <w:rsid w:val="0016644F"/>
    <w:rsid w:val="00175BC0"/>
    <w:rsid w:val="00176DE5"/>
    <w:rsid w:val="0018214C"/>
    <w:rsid w:val="00182A25"/>
    <w:rsid w:val="0018306C"/>
    <w:rsid w:val="0018314D"/>
    <w:rsid w:val="00184EB4"/>
    <w:rsid w:val="00186EB8"/>
    <w:rsid w:val="00190058"/>
    <w:rsid w:val="00193D65"/>
    <w:rsid w:val="00193DF5"/>
    <w:rsid w:val="00194735"/>
    <w:rsid w:val="00195B46"/>
    <w:rsid w:val="001974E5"/>
    <w:rsid w:val="001A029D"/>
    <w:rsid w:val="001A11AB"/>
    <w:rsid w:val="001A2355"/>
    <w:rsid w:val="001A4581"/>
    <w:rsid w:val="001A59C1"/>
    <w:rsid w:val="001C414C"/>
    <w:rsid w:val="001D1C9C"/>
    <w:rsid w:val="001D1E9A"/>
    <w:rsid w:val="001D20F4"/>
    <w:rsid w:val="001D506D"/>
    <w:rsid w:val="001D7DE8"/>
    <w:rsid w:val="001E155C"/>
    <w:rsid w:val="001E1C44"/>
    <w:rsid w:val="001E2287"/>
    <w:rsid w:val="001E77E6"/>
    <w:rsid w:val="001F366B"/>
    <w:rsid w:val="001F3DCC"/>
    <w:rsid w:val="001F40C1"/>
    <w:rsid w:val="001F73A4"/>
    <w:rsid w:val="00206B29"/>
    <w:rsid w:val="00211347"/>
    <w:rsid w:val="002116F1"/>
    <w:rsid w:val="00212A04"/>
    <w:rsid w:val="00213D70"/>
    <w:rsid w:val="00223BFF"/>
    <w:rsid w:val="00226144"/>
    <w:rsid w:val="00226905"/>
    <w:rsid w:val="00226FFA"/>
    <w:rsid w:val="00231614"/>
    <w:rsid w:val="0023613D"/>
    <w:rsid w:val="002375D7"/>
    <w:rsid w:val="002375DA"/>
    <w:rsid w:val="002406AA"/>
    <w:rsid w:val="00240AE3"/>
    <w:rsid w:val="0024129B"/>
    <w:rsid w:val="00244B60"/>
    <w:rsid w:val="002454AA"/>
    <w:rsid w:val="00246518"/>
    <w:rsid w:val="00252616"/>
    <w:rsid w:val="00256053"/>
    <w:rsid w:val="00260D53"/>
    <w:rsid w:val="00260DB8"/>
    <w:rsid w:val="002623D9"/>
    <w:rsid w:val="002635E7"/>
    <w:rsid w:val="00263A8B"/>
    <w:rsid w:val="00264596"/>
    <w:rsid w:val="00267115"/>
    <w:rsid w:val="0027083D"/>
    <w:rsid w:val="00273B70"/>
    <w:rsid w:val="00274B3C"/>
    <w:rsid w:val="002772CD"/>
    <w:rsid w:val="00282D27"/>
    <w:rsid w:val="00284C3A"/>
    <w:rsid w:val="00285FE7"/>
    <w:rsid w:val="00286DED"/>
    <w:rsid w:val="00287DD8"/>
    <w:rsid w:val="002901FD"/>
    <w:rsid w:val="00291962"/>
    <w:rsid w:val="00291B76"/>
    <w:rsid w:val="00292FF4"/>
    <w:rsid w:val="00293F01"/>
    <w:rsid w:val="0029581B"/>
    <w:rsid w:val="002A0AAE"/>
    <w:rsid w:val="002A0FBB"/>
    <w:rsid w:val="002A171D"/>
    <w:rsid w:val="002A1958"/>
    <w:rsid w:val="002A2F54"/>
    <w:rsid w:val="002B105A"/>
    <w:rsid w:val="002B5BE4"/>
    <w:rsid w:val="002B7529"/>
    <w:rsid w:val="002C284C"/>
    <w:rsid w:val="002C3A0A"/>
    <w:rsid w:val="002C57FB"/>
    <w:rsid w:val="002D1805"/>
    <w:rsid w:val="002D408C"/>
    <w:rsid w:val="002D4E3A"/>
    <w:rsid w:val="002D4FC3"/>
    <w:rsid w:val="002D5F59"/>
    <w:rsid w:val="002D6EF3"/>
    <w:rsid w:val="002E1992"/>
    <w:rsid w:val="002E442A"/>
    <w:rsid w:val="002E6753"/>
    <w:rsid w:val="002F0A87"/>
    <w:rsid w:val="002F155F"/>
    <w:rsid w:val="002F4185"/>
    <w:rsid w:val="002F5916"/>
    <w:rsid w:val="002F7D78"/>
    <w:rsid w:val="0030360E"/>
    <w:rsid w:val="00303E7B"/>
    <w:rsid w:val="00304504"/>
    <w:rsid w:val="003145E7"/>
    <w:rsid w:val="003167C9"/>
    <w:rsid w:val="003201B0"/>
    <w:rsid w:val="00321675"/>
    <w:rsid w:val="00321F93"/>
    <w:rsid w:val="00322366"/>
    <w:rsid w:val="00322A58"/>
    <w:rsid w:val="00324D00"/>
    <w:rsid w:val="003250B8"/>
    <w:rsid w:val="00325DE4"/>
    <w:rsid w:val="003266F7"/>
    <w:rsid w:val="00327650"/>
    <w:rsid w:val="003323A1"/>
    <w:rsid w:val="003335EB"/>
    <w:rsid w:val="003362BB"/>
    <w:rsid w:val="00341E28"/>
    <w:rsid w:val="00341E67"/>
    <w:rsid w:val="00342422"/>
    <w:rsid w:val="003450A2"/>
    <w:rsid w:val="00345399"/>
    <w:rsid w:val="00345EC2"/>
    <w:rsid w:val="00352A59"/>
    <w:rsid w:val="00354557"/>
    <w:rsid w:val="003552B1"/>
    <w:rsid w:val="00361E08"/>
    <w:rsid w:val="003620CB"/>
    <w:rsid w:val="00362559"/>
    <w:rsid w:val="00362C0F"/>
    <w:rsid w:val="003650A2"/>
    <w:rsid w:val="00367A95"/>
    <w:rsid w:val="00374009"/>
    <w:rsid w:val="003745ED"/>
    <w:rsid w:val="003769CF"/>
    <w:rsid w:val="00377252"/>
    <w:rsid w:val="00377A0E"/>
    <w:rsid w:val="0038065C"/>
    <w:rsid w:val="00381CA9"/>
    <w:rsid w:val="0038212F"/>
    <w:rsid w:val="00384C4D"/>
    <w:rsid w:val="00386265"/>
    <w:rsid w:val="00386593"/>
    <w:rsid w:val="00387513"/>
    <w:rsid w:val="00393991"/>
    <w:rsid w:val="00393CB5"/>
    <w:rsid w:val="00394EC0"/>
    <w:rsid w:val="003967C8"/>
    <w:rsid w:val="003A182E"/>
    <w:rsid w:val="003A20A1"/>
    <w:rsid w:val="003A2EAF"/>
    <w:rsid w:val="003A5BEB"/>
    <w:rsid w:val="003A6307"/>
    <w:rsid w:val="003A6F7C"/>
    <w:rsid w:val="003B179A"/>
    <w:rsid w:val="003C08C5"/>
    <w:rsid w:val="003C3403"/>
    <w:rsid w:val="003C4906"/>
    <w:rsid w:val="003C6017"/>
    <w:rsid w:val="003D4EF3"/>
    <w:rsid w:val="003D5D3B"/>
    <w:rsid w:val="003E0F8B"/>
    <w:rsid w:val="003E34CD"/>
    <w:rsid w:val="003E3E20"/>
    <w:rsid w:val="003F07C7"/>
    <w:rsid w:val="003F0DD3"/>
    <w:rsid w:val="003F1C89"/>
    <w:rsid w:val="003F7953"/>
    <w:rsid w:val="003F7BB6"/>
    <w:rsid w:val="004110CA"/>
    <w:rsid w:val="0041279C"/>
    <w:rsid w:val="00417402"/>
    <w:rsid w:val="00421400"/>
    <w:rsid w:val="004229AA"/>
    <w:rsid w:val="00423F60"/>
    <w:rsid w:val="00424E7A"/>
    <w:rsid w:val="004324CF"/>
    <w:rsid w:val="004328E9"/>
    <w:rsid w:val="00433D68"/>
    <w:rsid w:val="00433ED2"/>
    <w:rsid w:val="00434143"/>
    <w:rsid w:val="00436150"/>
    <w:rsid w:val="00442060"/>
    <w:rsid w:val="0044779B"/>
    <w:rsid w:val="004524B5"/>
    <w:rsid w:val="00452EF0"/>
    <w:rsid w:val="004561A4"/>
    <w:rsid w:val="0046049C"/>
    <w:rsid w:val="00460512"/>
    <w:rsid w:val="00466F50"/>
    <w:rsid w:val="00470D3D"/>
    <w:rsid w:val="00470DCC"/>
    <w:rsid w:val="004746DB"/>
    <w:rsid w:val="00474849"/>
    <w:rsid w:val="00476AF0"/>
    <w:rsid w:val="00476CDE"/>
    <w:rsid w:val="00485DC9"/>
    <w:rsid w:val="004902F2"/>
    <w:rsid w:val="00492B9E"/>
    <w:rsid w:val="004937AE"/>
    <w:rsid w:val="004A2C44"/>
    <w:rsid w:val="004A4330"/>
    <w:rsid w:val="004A4A72"/>
    <w:rsid w:val="004A7216"/>
    <w:rsid w:val="004A752B"/>
    <w:rsid w:val="004A7B6F"/>
    <w:rsid w:val="004B34B5"/>
    <w:rsid w:val="004B7D92"/>
    <w:rsid w:val="004C0210"/>
    <w:rsid w:val="004C3108"/>
    <w:rsid w:val="004C3FAF"/>
    <w:rsid w:val="004C5064"/>
    <w:rsid w:val="004C667B"/>
    <w:rsid w:val="004D2599"/>
    <w:rsid w:val="004D25E6"/>
    <w:rsid w:val="004D37A6"/>
    <w:rsid w:val="004D508F"/>
    <w:rsid w:val="004E258E"/>
    <w:rsid w:val="004E2902"/>
    <w:rsid w:val="004E35C0"/>
    <w:rsid w:val="004E3E3C"/>
    <w:rsid w:val="004E5577"/>
    <w:rsid w:val="004E5E39"/>
    <w:rsid w:val="004E6EB1"/>
    <w:rsid w:val="004F4A75"/>
    <w:rsid w:val="004F51F8"/>
    <w:rsid w:val="004F7D93"/>
    <w:rsid w:val="00507867"/>
    <w:rsid w:val="005078E7"/>
    <w:rsid w:val="0051751B"/>
    <w:rsid w:val="005179E2"/>
    <w:rsid w:val="0052118B"/>
    <w:rsid w:val="00521905"/>
    <w:rsid w:val="0052512B"/>
    <w:rsid w:val="0052518E"/>
    <w:rsid w:val="005268B1"/>
    <w:rsid w:val="00527350"/>
    <w:rsid w:val="005303C9"/>
    <w:rsid w:val="005306F2"/>
    <w:rsid w:val="0053197B"/>
    <w:rsid w:val="00532034"/>
    <w:rsid w:val="00543B92"/>
    <w:rsid w:val="00543C19"/>
    <w:rsid w:val="005453B6"/>
    <w:rsid w:val="00546F19"/>
    <w:rsid w:val="00547D34"/>
    <w:rsid w:val="00550847"/>
    <w:rsid w:val="0055176B"/>
    <w:rsid w:val="00554EE4"/>
    <w:rsid w:val="0056512D"/>
    <w:rsid w:val="00565B3F"/>
    <w:rsid w:val="00565C18"/>
    <w:rsid w:val="00566B24"/>
    <w:rsid w:val="005716A7"/>
    <w:rsid w:val="005738E9"/>
    <w:rsid w:val="00573C33"/>
    <w:rsid w:val="005756AC"/>
    <w:rsid w:val="00575DDB"/>
    <w:rsid w:val="00576D9C"/>
    <w:rsid w:val="005802C0"/>
    <w:rsid w:val="00580C9C"/>
    <w:rsid w:val="00583D6C"/>
    <w:rsid w:val="005845FD"/>
    <w:rsid w:val="00586C1D"/>
    <w:rsid w:val="0059007D"/>
    <w:rsid w:val="005909FE"/>
    <w:rsid w:val="00593AF3"/>
    <w:rsid w:val="00596309"/>
    <w:rsid w:val="00596A3A"/>
    <w:rsid w:val="0059753B"/>
    <w:rsid w:val="005A0181"/>
    <w:rsid w:val="005A01C1"/>
    <w:rsid w:val="005A3466"/>
    <w:rsid w:val="005A62B5"/>
    <w:rsid w:val="005A78BD"/>
    <w:rsid w:val="005B2FE6"/>
    <w:rsid w:val="005B5DD1"/>
    <w:rsid w:val="005B6CBB"/>
    <w:rsid w:val="005C0220"/>
    <w:rsid w:val="005C4E2E"/>
    <w:rsid w:val="005D02BB"/>
    <w:rsid w:val="005D65CD"/>
    <w:rsid w:val="005D68DD"/>
    <w:rsid w:val="005D757D"/>
    <w:rsid w:val="005D774B"/>
    <w:rsid w:val="005E096A"/>
    <w:rsid w:val="005E154B"/>
    <w:rsid w:val="005E2091"/>
    <w:rsid w:val="005E6243"/>
    <w:rsid w:val="005F0478"/>
    <w:rsid w:val="005F135D"/>
    <w:rsid w:val="005F46DE"/>
    <w:rsid w:val="005F6B77"/>
    <w:rsid w:val="005F79A8"/>
    <w:rsid w:val="0060150F"/>
    <w:rsid w:val="00602229"/>
    <w:rsid w:val="00603953"/>
    <w:rsid w:val="00603AB3"/>
    <w:rsid w:val="0060664F"/>
    <w:rsid w:val="006170B5"/>
    <w:rsid w:val="00617287"/>
    <w:rsid w:val="0062179F"/>
    <w:rsid w:val="00622056"/>
    <w:rsid w:val="00622805"/>
    <w:rsid w:val="0062325E"/>
    <w:rsid w:val="0062656A"/>
    <w:rsid w:val="00627D90"/>
    <w:rsid w:val="006319E3"/>
    <w:rsid w:val="00631BAD"/>
    <w:rsid w:val="0063326E"/>
    <w:rsid w:val="00634E46"/>
    <w:rsid w:val="006422B3"/>
    <w:rsid w:val="006431D8"/>
    <w:rsid w:val="0064366C"/>
    <w:rsid w:val="00656750"/>
    <w:rsid w:val="0066030D"/>
    <w:rsid w:val="0066227F"/>
    <w:rsid w:val="0066548B"/>
    <w:rsid w:val="0067056C"/>
    <w:rsid w:val="00676C66"/>
    <w:rsid w:val="00676E8E"/>
    <w:rsid w:val="00676EA8"/>
    <w:rsid w:val="00676FB9"/>
    <w:rsid w:val="00677CFF"/>
    <w:rsid w:val="006842B0"/>
    <w:rsid w:val="006853C4"/>
    <w:rsid w:val="00691D9B"/>
    <w:rsid w:val="00692668"/>
    <w:rsid w:val="00693D0A"/>
    <w:rsid w:val="00694325"/>
    <w:rsid w:val="00695514"/>
    <w:rsid w:val="006A13AC"/>
    <w:rsid w:val="006A2136"/>
    <w:rsid w:val="006A2F60"/>
    <w:rsid w:val="006A5885"/>
    <w:rsid w:val="006A66A4"/>
    <w:rsid w:val="006A73F0"/>
    <w:rsid w:val="006B08CA"/>
    <w:rsid w:val="006B112C"/>
    <w:rsid w:val="006B24DB"/>
    <w:rsid w:val="006B6CBF"/>
    <w:rsid w:val="006C1829"/>
    <w:rsid w:val="006C41B3"/>
    <w:rsid w:val="006C49F6"/>
    <w:rsid w:val="006C5C4E"/>
    <w:rsid w:val="006D2FE0"/>
    <w:rsid w:val="006D3B46"/>
    <w:rsid w:val="006D6654"/>
    <w:rsid w:val="006E06D3"/>
    <w:rsid w:val="006E3068"/>
    <w:rsid w:val="006E4C6B"/>
    <w:rsid w:val="006E5891"/>
    <w:rsid w:val="006F0F5B"/>
    <w:rsid w:val="006F1A3F"/>
    <w:rsid w:val="00704750"/>
    <w:rsid w:val="007068C8"/>
    <w:rsid w:val="00713CB4"/>
    <w:rsid w:val="007142FB"/>
    <w:rsid w:val="00723EA4"/>
    <w:rsid w:val="0072419E"/>
    <w:rsid w:val="00724A3A"/>
    <w:rsid w:val="00726215"/>
    <w:rsid w:val="00730826"/>
    <w:rsid w:val="00731372"/>
    <w:rsid w:val="00731950"/>
    <w:rsid w:val="0074077C"/>
    <w:rsid w:val="0074516A"/>
    <w:rsid w:val="007456CF"/>
    <w:rsid w:val="00746FB8"/>
    <w:rsid w:val="0074710E"/>
    <w:rsid w:val="00751AC9"/>
    <w:rsid w:val="00757874"/>
    <w:rsid w:val="0076249F"/>
    <w:rsid w:val="00766E7D"/>
    <w:rsid w:val="00767EAF"/>
    <w:rsid w:val="0077100B"/>
    <w:rsid w:val="00771F28"/>
    <w:rsid w:val="007720AD"/>
    <w:rsid w:val="00773069"/>
    <w:rsid w:val="0077639A"/>
    <w:rsid w:val="0078381C"/>
    <w:rsid w:val="00783E3D"/>
    <w:rsid w:val="007875D4"/>
    <w:rsid w:val="00787946"/>
    <w:rsid w:val="00790648"/>
    <w:rsid w:val="007910B2"/>
    <w:rsid w:val="0079271A"/>
    <w:rsid w:val="0079316E"/>
    <w:rsid w:val="00793574"/>
    <w:rsid w:val="007979E5"/>
    <w:rsid w:val="007A1C4E"/>
    <w:rsid w:val="007A2F5E"/>
    <w:rsid w:val="007A4B1B"/>
    <w:rsid w:val="007B4DB8"/>
    <w:rsid w:val="007C28D4"/>
    <w:rsid w:val="007C4494"/>
    <w:rsid w:val="007C5854"/>
    <w:rsid w:val="007C7882"/>
    <w:rsid w:val="007D3F59"/>
    <w:rsid w:val="007D40EE"/>
    <w:rsid w:val="007E0321"/>
    <w:rsid w:val="007E0C7B"/>
    <w:rsid w:val="007F25C6"/>
    <w:rsid w:val="007F363B"/>
    <w:rsid w:val="007F54F3"/>
    <w:rsid w:val="00802622"/>
    <w:rsid w:val="00804F6C"/>
    <w:rsid w:val="00810C60"/>
    <w:rsid w:val="00811823"/>
    <w:rsid w:val="00817F93"/>
    <w:rsid w:val="00820813"/>
    <w:rsid w:val="008221F8"/>
    <w:rsid w:val="0082258E"/>
    <w:rsid w:val="00824EEA"/>
    <w:rsid w:val="00825AD9"/>
    <w:rsid w:val="00830C15"/>
    <w:rsid w:val="00835ADC"/>
    <w:rsid w:val="00837C7D"/>
    <w:rsid w:val="00841DA1"/>
    <w:rsid w:val="00841EDE"/>
    <w:rsid w:val="00845FC9"/>
    <w:rsid w:val="00850A6E"/>
    <w:rsid w:val="00851BAB"/>
    <w:rsid w:val="00854CBF"/>
    <w:rsid w:val="008625C7"/>
    <w:rsid w:val="00865110"/>
    <w:rsid w:val="0087502F"/>
    <w:rsid w:val="00875316"/>
    <w:rsid w:val="00877937"/>
    <w:rsid w:val="008854D1"/>
    <w:rsid w:val="0088583E"/>
    <w:rsid w:val="0089153E"/>
    <w:rsid w:val="00894792"/>
    <w:rsid w:val="00896E09"/>
    <w:rsid w:val="00897FF6"/>
    <w:rsid w:val="008A627E"/>
    <w:rsid w:val="008A6A90"/>
    <w:rsid w:val="008A7439"/>
    <w:rsid w:val="008A7822"/>
    <w:rsid w:val="008B49DB"/>
    <w:rsid w:val="008B5CCF"/>
    <w:rsid w:val="008B5FFA"/>
    <w:rsid w:val="008C1CF1"/>
    <w:rsid w:val="008C2B5D"/>
    <w:rsid w:val="008C2D1F"/>
    <w:rsid w:val="008C36DD"/>
    <w:rsid w:val="008D0733"/>
    <w:rsid w:val="008E4D29"/>
    <w:rsid w:val="008E6921"/>
    <w:rsid w:val="008E7C15"/>
    <w:rsid w:val="008F14B2"/>
    <w:rsid w:val="008F292A"/>
    <w:rsid w:val="008F4174"/>
    <w:rsid w:val="008F459F"/>
    <w:rsid w:val="008F7B1C"/>
    <w:rsid w:val="0090057D"/>
    <w:rsid w:val="00900B53"/>
    <w:rsid w:val="00902C68"/>
    <w:rsid w:val="00905DCF"/>
    <w:rsid w:val="009067F8"/>
    <w:rsid w:val="0091278B"/>
    <w:rsid w:val="0091382E"/>
    <w:rsid w:val="009153CE"/>
    <w:rsid w:val="00917112"/>
    <w:rsid w:val="00917A88"/>
    <w:rsid w:val="00922D94"/>
    <w:rsid w:val="009242F6"/>
    <w:rsid w:val="00931B56"/>
    <w:rsid w:val="00933661"/>
    <w:rsid w:val="00935551"/>
    <w:rsid w:val="00950255"/>
    <w:rsid w:val="00952782"/>
    <w:rsid w:val="00957543"/>
    <w:rsid w:val="00957B96"/>
    <w:rsid w:val="00957BF5"/>
    <w:rsid w:val="009641FB"/>
    <w:rsid w:val="0096552D"/>
    <w:rsid w:val="00966A7E"/>
    <w:rsid w:val="00973916"/>
    <w:rsid w:val="00975E73"/>
    <w:rsid w:val="00977341"/>
    <w:rsid w:val="00982AA2"/>
    <w:rsid w:val="009911C0"/>
    <w:rsid w:val="00993EF8"/>
    <w:rsid w:val="009A0D8C"/>
    <w:rsid w:val="009A1F11"/>
    <w:rsid w:val="009A324B"/>
    <w:rsid w:val="009A41BA"/>
    <w:rsid w:val="009B0D56"/>
    <w:rsid w:val="009B2041"/>
    <w:rsid w:val="009B3E79"/>
    <w:rsid w:val="009B50B2"/>
    <w:rsid w:val="009B5C7A"/>
    <w:rsid w:val="009C2D2D"/>
    <w:rsid w:val="009C317C"/>
    <w:rsid w:val="009C67E7"/>
    <w:rsid w:val="009D04A4"/>
    <w:rsid w:val="009E43F6"/>
    <w:rsid w:val="009F24ED"/>
    <w:rsid w:val="00A0083D"/>
    <w:rsid w:val="00A043E0"/>
    <w:rsid w:val="00A06CA3"/>
    <w:rsid w:val="00A11667"/>
    <w:rsid w:val="00A11F4A"/>
    <w:rsid w:val="00A12573"/>
    <w:rsid w:val="00A150C9"/>
    <w:rsid w:val="00A17CC7"/>
    <w:rsid w:val="00A21DBE"/>
    <w:rsid w:val="00A22377"/>
    <w:rsid w:val="00A24662"/>
    <w:rsid w:val="00A25F30"/>
    <w:rsid w:val="00A2715A"/>
    <w:rsid w:val="00A31BED"/>
    <w:rsid w:val="00A31C8C"/>
    <w:rsid w:val="00A3684D"/>
    <w:rsid w:val="00A40C5C"/>
    <w:rsid w:val="00A43FF0"/>
    <w:rsid w:val="00A4490A"/>
    <w:rsid w:val="00A464BB"/>
    <w:rsid w:val="00A46BCC"/>
    <w:rsid w:val="00A52402"/>
    <w:rsid w:val="00A52468"/>
    <w:rsid w:val="00A529CC"/>
    <w:rsid w:val="00A5542B"/>
    <w:rsid w:val="00A555A2"/>
    <w:rsid w:val="00A567AF"/>
    <w:rsid w:val="00A73157"/>
    <w:rsid w:val="00A73356"/>
    <w:rsid w:val="00A8396B"/>
    <w:rsid w:val="00A84476"/>
    <w:rsid w:val="00A845B4"/>
    <w:rsid w:val="00A90F6E"/>
    <w:rsid w:val="00A92116"/>
    <w:rsid w:val="00A923FF"/>
    <w:rsid w:val="00A92ABA"/>
    <w:rsid w:val="00A94542"/>
    <w:rsid w:val="00A9559B"/>
    <w:rsid w:val="00AA0DB6"/>
    <w:rsid w:val="00AA626B"/>
    <w:rsid w:val="00AB177A"/>
    <w:rsid w:val="00AB2094"/>
    <w:rsid w:val="00AB28FB"/>
    <w:rsid w:val="00AB4625"/>
    <w:rsid w:val="00AB53B0"/>
    <w:rsid w:val="00AB6188"/>
    <w:rsid w:val="00AC5482"/>
    <w:rsid w:val="00AC7672"/>
    <w:rsid w:val="00AD181E"/>
    <w:rsid w:val="00AD26A0"/>
    <w:rsid w:val="00AD3900"/>
    <w:rsid w:val="00AD5707"/>
    <w:rsid w:val="00AD74B6"/>
    <w:rsid w:val="00AD7D7F"/>
    <w:rsid w:val="00AE06C4"/>
    <w:rsid w:val="00AE40A0"/>
    <w:rsid w:val="00AF00CA"/>
    <w:rsid w:val="00AF7C7A"/>
    <w:rsid w:val="00B00F34"/>
    <w:rsid w:val="00B013F8"/>
    <w:rsid w:val="00B039F3"/>
    <w:rsid w:val="00B10081"/>
    <w:rsid w:val="00B116AB"/>
    <w:rsid w:val="00B125B8"/>
    <w:rsid w:val="00B12C9A"/>
    <w:rsid w:val="00B14094"/>
    <w:rsid w:val="00B155BB"/>
    <w:rsid w:val="00B15AF3"/>
    <w:rsid w:val="00B15FF1"/>
    <w:rsid w:val="00B17444"/>
    <w:rsid w:val="00B17EE0"/>
    <w:rsid w:val="00B20033"/>
    <w:rsid w:val="00B23338"/>
    <w:rsid w:val="00B274AA"/>
    <w:rsid w:val="00B32427"/>
    <w:rsid w:val="00B33642"/>
    <w:rsid w:val="00B355C7"/>
    <w:rsid w:val="00B40971"/>
    <w:rsid w:val="00B50C55"/>
    <w:rsid w:val="00B51FE8"/>
    <w:rsid w:val="00B6125F"/>
    <w:rsid w:val="00B64151"/>
    <w:rsid w:val="00B66F8A"/>
    <w:rsid w:val="00B67445"/>
    <w:rsid w:val="00B735E8"/>
    <w:rsid w:val="00B743DA"/>
    <w:rsid w:val="00B748BE"/>
    <w:rsid w:val="00B80650"/>
    <w:rsid w:val="00B81748"/>
    <w:rsid w:val="00B82695"/>
    <w:rsid w:val="00B83484"/>
    <w:rsid w:val="00B83B10"/>
    <w:rsid w:val="00B84450"/>
    <w:rsid w:val="00B848AC"/>
    <w:rsid w:val="00B85F70"/>
    <w:rsid w:val="00B86FEB"/>
    <w:rsid w:val="00B90761"/>
    <w:rsid w:val="00B90811"/>
    <w:rsid w:val="00B90F5C"/>
    <w:rsid w:val="00B964AB"/>
    <w:rsid w:val="00BA0818"/>
    <w:rsid w:val="00BA1608"/>
    <w:rsid w:val="00BA340C"/>
    <w:rsid w:val="00BA3606"/>
    <w:rsid w:val="00BA6746"/>
    <w:rsid w:val="00BA67DE"/>
    <w:rsid w:val="00BA74CD"/>
    <w:rsid w:val="00BB0303"/>
    <w:rsid w:val="00BB13D9"/>
    <w:rsid w:val="00BB17FD"/>
    <w:rsid w:val="00BB1A6A"/>
    <w:rsid w:val="00BB48A6"/>
    <w:rsid w:val="00BB5B2D"/>
    <w:rsid w:val="00BB673F"/>
    <w:rsid w:val="00BB7FFC"/>
    <w:rsid w:val="00BC013E"/>
    <w:rsid w:val="00BC1D3F"/>
    <w:rsid w:val="00BC22A6"/>
    <w:rsid w:val="00BC588D"/>
    <w:rsid w:val="00BC7A56"/>
    <w:rsid w:val="00BD18F2"/>
    <w:rsid w:val="00BD2D75"/>
    <w:rsid w:val="00BE3B7A"/>
    <w:rsid w:val="00BE5C08"/>
    <w:rsid w:val="00BE5E8D"/>
    <w:rsid w:val="00BE65A8"/>
    <w:rsid w:val="00BE75C8"/>
    <w:rsid w:val="00BF4358"/>
    <w:rsid w:val="00BF6FF2"/>
    <w:rsid w:val="00C0150A"/>
    <w:rsid w:val="00C0177F"/>
    <w:rsid w:val="00C1078F"/>
    <w:rsid w:val="00C12248"/>
    <w:rsid w:val="00C14840"/>
    <w:rsid w:val="00C169F8"/>
    <w:rsid w:val="00C16EC6"/>
    <w:rsid w:val="00C17AAF"/>
    <w:rsid w:val="00C217A1"/>
    <w:rsid w:val="00C230F5"/>
    <w:rsid w:val="00C23DB5"/>
    <w:rsid w:val="00C25D1D"/>
    <w:rsid w:val="00C275C6"/>
    <w:rsid w:val="00C27C46"/>
    <w:rsid w:val="00C3050C"/>
    <w:rsid w:val="00C327A1"/>
    <w:rsid w:val="00C35B7E"/>
    <w:rsid w:val="00C35C0F"/>
    <w:rsid w:val="00C37E45"/>
    <w:rsid w:val="00C4068A"/>
    <w:rsid w:val="00C425BB"/>
    <w:rsid w:val="00C455C9"/>
    <w:rsid w:val="00C45E96"/>
    <w:rsid w:val="00C462C8"/>
    <w:rsid w:val="00C46D47"/>
    <w:rsid w:val="00C54DAE"/>
    <w:rsid w:val="00C55FA9"/>
    <w:rsid w:val="00C65D61"/>
    <w:rsid w:val="00C65E5D"/>
    <w:rsid w:val="00C664AD"/>
    <w:rsid w:val="00C76540"/>
    <w:rsid w:val="00C80D82"/>
    <w:rsid w:val="00C92DEE"/>
    <w:rsid w:val="00C9412C"/>
    <w:rsid w:val="00C96C4F"/>
    <w:rsid w:val="00CA215A"/>
    <w:rsid w:val="00CA2BFE"/>
    <w:rsid w:val="00CA2DB8"/>
    <w:rsid w:val="00CA4E83"/>
    <w:rsid w:val="00CA575F"/>
    <w:rsid w:val="00CA6ADE"/>
    <w:rsid w:val="00CB49BB"/>
    <w:rsid w:val="00CB6BF3"/>
    <w:rsid w:val="00CB72A7"/>
    <w:rsid w:val="00CC07F1"/>
    <w:rsid w:val="00CC0BAD"/>
    <w:rsid w:val="00CC1F56"/>
    <w:rsid w:val="00CC7445"/>
    <w:rsid w:val="00CE2A9A"/>
    <w:rsid w:val="00CF1B48"/>
    <w:rsid w:val="00CF21CB"/>
    <w:rsid w:val="00CF28A2"/>
    <w:rsid w:val="00CF6964"/>
    <w:rsid w:val="00D02E90"/>
    <w:rsid w:val="00D071BA"/>
    <w:rsid w:val="00D10857"/>
    <w:rsid w:val="00D1224C"/>
    <w:rsid w:val="00D1253D"/>
    <w:rsid w:val="00D1276B"/>
    <w:rsid w:val="00D14E13"/>
    <w:rsid w:val="00D15F55"/>
    <w:rsid w:val="00D170F5"/>
    <w:rsid w:val="00D224D1"/>
    <w:rsid w:val="00D24662"/>
    <w:rsid w:val="00D26E27"/>
    <w:rsid w:val="00D34347"/>
    <w:rsid w:val="00D42E68"/>
    <w:rsid w:val="00D46D32"/>
    <w:rsid w:val="00D47388"/>
    <w:rsid w:val="00D504F7"/>
    <w:rsid w:val="00D548FD"/>
    <w:rsid w:val="00D556BA"/>
    <w:rsid w:val="00D61549"/>
    <w:rsid w:val="00D62C25"/>
    <w:rsid w:val="00D62D78"/>
    <w:rsid w:val="00D664CD"/>
    <w:rsid w:val="00D66C84"/>
    <w:rsid w:val="00D677CF"/>
    <w:rsid w:val="00D73555"/>
    <w:rsid w:val="00D755F5"/>
    <w:rsid w:val="00D76ED9"/>
    <w:rsid w:val="00D775E5"/>
    <w:rsid w:val="00D87FFD"/>
    <w:rsid w:val="00D917FB"/>
    <w:rsid w:val="00D9286C"/>
    <w:rsid w:val="00D96ED3"/>
    <w:rsid w:val="00DA1390"/>
    <w:rsid w:val="00DA17FB"/>
    <w:rsid w:val="00DA5A31"/>
    <w:rsid w:val="00DA6A27"/>
    <w:rsid w:val="00DA7D8F"/>
    <w:rsid w:val="00DB1BC4"/>
    <w:rsid w:val="00DB3266"/>
    <w:rsid w:val="00DB3491"/>
    <w:rsid w:val="00DB39B7"/>
    <w:rsid w:val="00DB3A0A"/>
    <w:rsid w:val="00DB7AAB"/>
    <w:rsid w:val="00DC1259"/>
    <w:rsid w:val="00DC31B4"/>
    <w:rsid w:val="00DC4D8D"/>
    <w:rsid w:val="00DC5CE5"/>
    <w:rsid w:val="00DC606A"/>
    <w:rsid w:val="00DC7522"/>
    <w:rsid w:val="00DD29FF"/>
    <w:rsid w:val="00DD3A87"/>
    <w:rsid w:val="00DD5529"/>
    <w:rsid w:val="00DD6A44"/>
    <w:rsid w:val="00DD76C3"/>
    <w:rsid w:val="00DE34DF"/>
    <w:rsid w:val="00DE3F14"/>
    <w:rsid w:val="00DE4336"/>
    <w:rsid w:val="00DE4550"/>
    <w:rsid w:val="00DE558F"/>
    <w:rsid w:val="00DE588F"/>
    <w:rsid w:val="00DE7ADE"/>
    <w:rsid w:val="00DF0128"/>
    <w:rsid w:val="00DF59ED"/>
    <w:rsid w:val="00DF6A2F"/>
    <w:rsid w:val="00E030DF"/>
    <w:rsid w:val="00E039C3"/>
    <w:rsid w:val="00E03AC5"/>
    <w:rsid w:val="00E03CB6"/>
    <w:rsid w:val="00E10CA8"/>
    <w:rsid w:val="00E16064"/>
    <w:rsid w:val="00E17DA7"/>
    <w:rsid w:val="00E223A9"/>
    <w:rsid w:val="00E23873"/>
    <w:rsid w:val="00E25AAC"/>
    <w:rsid w:val="00E33B57"/>
    <w:rsid w:val="00E360C4"/>
    <w:rsid w:val="00E36B44"/>
    <w:rsid w:val="00E371FB"/>
    <w:rsid w:val="00E37D6E"/>
    <w:rsid w:val="00E40AD0"/>
    <w:rsid w:val="00E43BD2"/>
    <w:rsid w:val="00E46E03"/>
    <w:rsid w:val="00E47DDF"/>
    <w:rsid w:val="00E533BD"/>
    <w:rsid w:val="00E5409E"/>
    <w:rsid w:val="00E56D27"/>
    <w:rsid w:val="00E603BC"/>
    <w:rsid w:val="00E61DB4"/>
    <w:rsid w:val="00E6340C"/>
    <w:rsid w:val="00E63C7F"/>
    <w:rsid w:val="00E663D5"/>
    <w:rsid w:val="00E715FA"/>
    <w:rsid w:val="00E715FF"/>
    <w:rsid w:val="00E75566"/>
    <w:rsid w:val="00E75725"/>
    <w:rsid w:val="00E77F36"/>
    <w:rsid w:val="00E8442E"/>
    <w:rsid w:val="00E91175"/>
    <w:rsid w:val="00E934B9"/>
    <w:rsid w:val="00E93524"/>
    <w:rsid w:val="00E95F68"/>
    <w:rsid w:val="00EA269B"/>
    <w:rsid w:val="00EA3236"/>
    <w:rsid w:val="00EA4A09"/>
    <w:rsid w:val="00EA56E4"/>
    <w:rsid w:val="00EA6BE6"/>
    <w:rsid w:val="00EB1049"/>
    <w:rsid w:val="00EB4A7E"/>
    <w:rsid w:val="00EB7524"/>
    <w:rsid w:val="00EC10C6"/>
    <w:rsid w:val="00EC1140"/>
    <w:rsid w:val="00EC1C26"/>
    <w:rsid w:val="00EC400A"/>
    <w:rsid w:val="00EC5180"/>
    <w:rsid w:val="00EC74E2"/>
    <w:rsid w:val="00ED375B"/>
    <w:rsid w:val="00ED70F7"/>
    <w:rsid w:val="00EE17DF"/>
    <w:rsid w:val="00EE24D8"/>
    <w:rsid w:val="00EE33B4"/>
    <w:rsid w:val="00EE58DB"/>
    <w:rsid w:val="00EF204A"/>
    <w:rsid w:val="00EF2826"/>
    <w:rsid w:val="00EF583C"/>
    <w:rsid w:val="00EF60F0"/>
    <w:rsid w:val="00F0092A"/>
    <w:rsid w:val="00F02147"/>
    <w:rsid w:val="00F05ADC"/>
    <w:rsid w:val="00F0650E"/>
    <w:rsid w:val="00F117A5"/>
    <w:rsid w:val="00F165A0"/>
    <w:rsid w:val="00F1751F"/>
    <w:rsid w:val="00F21E07"/>
    <w:rsid w:val="00F25CD7"/>
    <w:rsid w:val="00F268E4"/>
    <w:rsid w:val="00F26DC1"/>
    <w:rsid w:val="00F313E7"/>
    <w:rsid w:val="00F31DBD"/>
    <w:rsid w:val="00F326C6"/>
    <w:rsid w:val="00F33BA5"/>
    <w:rsid w:val="00F347FE"/>
    <w:rsid w:val="00F37BFF"/>
    <w:rsid w:val="00F37C9C"/>
    <w:rsid w:val="00F4279F"/>
    <w:rsid w:val="00F44F0A"/>
    <w:rsid w:val="00F4655D"/>
    <w:rsid w:val="00F4741E"/>
    <w:rsid w:val="00F50697"/>
    <w:rsid w:val="00F516BD"/>
    <w:rsid w:val="00F63894"/>
    <w:rsid w:val="00F64609"/>
    <w:rsid w:val="00F66477"/>
    <w:rsid w:val="00F670AA"/>
    <w:rsid w:val="00F71569"/>
    <w:rsid w:val="00F72953"/>
    <w:rsid w:val="00F73E4C"/>
    <w:rsid w:val="00F7796C"/>
    <w:rsid w:val="00F814BE"/>
    <w:rsid w:val="00F837DB"/>
    <w:rsid w:val="00F84DA1"/>
    <w:rsid w:val="00F86417"/>
    <w:rsid w:val="00F931A4"/>
    <w:rsid w:val="00F93714"/>
    <w:rsid w:val="00F93847"/>
    <w:rsid w:val="00F938AE"/>
    <w:rsid w:val="00F9467E"/>
    <w:rsid w:val="00F976DB"/>
    <w:rsid w:val="00F97CDA"/>
    <w:rsid w:val="00FA0614"/>
    <w:rsid w:val="00FA0CCE"/>
    <w:rsid w:val="00FA0F74"/>
    <w:rsid w:val="00FA25FB"/>
    <w:rsid w:val="00FA42CC"/>
    <w:rsid w:val="00FA4F89"/>
    <w:rsid w:val="00FA528F"/>
    <w:rsid w:val="00FB43AF"/>
    <w:rsid w:val="00FB74BE"/>
    <w:rsid w:val="00FB7A20"/>
    <w:rsid w:val="00FC3A82"/>
    <w:rsid w:val="00FC48CA"/>
    <w:rsid w:val="00FD13DA"/>
    <w:rsid w:val="00FD1D99"/>
    <w:rsid w:val="00FD26E4"/>
    <w:rsid w:val="00FD34EA"/>
    <w:rsid w:val="00FD36AA"/>
    <w:rsid w:val="00FD38ED"/>
    <w:rsid w:val="00FD69A5"/>
    <w:rsid w:val="00FD6A90"/>
    <w:rsid w:val="00FE2896"/>
    <w:rsid w:val="00FE2DB9"/>
    <w:rsid w:val="00FE3414"/>
    <w:rsid w:val="00FE3B47"/>
    <w:rsid w:val="00FF09C6"/>
    <w:rsid w:val="00FF1AE0"/>
    <w:rsid w:val="00FF3840"/>
    <w:rsid w:val="00FF5A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C999A"/>
  <w15:chartTrackingRefBased/>
  <w15:docId w15:val="{C1F03667-1BA9-4E2B-A1D6-045E963A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A87"/>
    <w:pPr>
      <w:spacing w:after="160" w:line="259"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33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3BD"/>
  </w:style>
  <w:style w:type="paragraph" w:styleId="Stopka">
    <w:name w:val="footer"/>
    <w:basedOn w:val="Normalny"/>
    <w:link w:val="StopkaZnak"/>
    <w:uiPriority w:val="99"/>
    <w:unhideWhenUsed/>
    <w:rsid w:val="00E533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3BD"/>
  </w:style>
  <w:style w:type="paragraph" w:styleId="Tekstprzypisukocowego">
    <w:name w:val="endnote text"/>
    <w:basedOn w:val="Normalny"/>
    <w:link w:val="TekstprzypisukocowegoZnak"/>
    <w:uiPriority w:val="99"/>
    <w:semiHidden/>
    <w:unhideWhenUsed/>
    <w:rsid w:val="00E61DB4"/>
    <w:rPr>
      <w:sz w:val="20"/>
      <w:szCs w:val="20"/>
    </w:rPr>
  </w:style>
  <w:style w:type="character" w:customStyle="1" w:styleId="TekstprzypisukocowegoZnak">
    <w:name w:val="Tekst przypisu końcowego Znak"/>
    <w:link w:val="Tekstprzypisukocowego"/>
    <w:uiPriority w:val="99"/>
    <w:semiHidden/>
    <w:rsid w:val="00E61DB4"/>
    <w:rPr>
      <w:lang w:eastAsia="en-US"/>
    </w:rPr>
  </w:style>
  <w:style w:type="character" w:styleId="Odwoanieprzypisukocowego">
    <w:name w:val="endnote reference"/>
    <w:uiPriority w:val="99"/>
    <w:semiHidden/>
    <w:unhideWhenUsed/>
    <w:rsid w:val="00E61DB4"/>
    <w:rPr>
      <w:vertAlign w:val="superscript"/>
    </w:rPr>
  </w:style>
  <w:style w:type="table" w:styleId="Tabela-Siatka">
    <w:name w:val="Table Grid"/>
    <w:basedOn w:val="Standardowy"/>
    <w:uiPriority w:val="39"/>
    <w:rsid w:val="002D4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C0150A"/>
    <w:rPr>
      <w:color w:val="0563C1"/>
      <w:u w:val="single"/>
    </w:rPr>
  </w:style>
  <w:style w:type="character" w:styleId="Nierozpoznanawzmianka">
    <w:name w:val="Unresolved Mention"/>
    <w:uiPriority w:val="99"/>
    <w:semiHidden/>
    <w:unhideWhenUsed/>
    <w:rsid w:val="00C0150A"/>
    <w:rPr>
      <w:color w:val="605E5C"/>
      <w:shd w:val="clear" w:color="auto" w:fill="E1DFDD"/>
    </w:rPr>
  </w:style>
  <w:style w:type="paragraph" w:styleId="Akapitzlist">
    <w:name w:val="List Paragraph"/>
    <w:basedOn w:val="Normalny"/>
    <w:uiPriority w:val="34"/>
    <w:qFormat/>
    <w:rsid w:val="006D3B46"/>
    <w:pPr>
      <w:ind w:left="720"/>
      <w:contextualSpacing/>
    </w:pPr>
  </w:style>
  <w:style w:type="character" w:styleId="Odwoaniedokomentarza">
    <w:name w:val="annotation reference"/>
    <w:basedOn w:val="Domylnaczcionkaakapitu"/>
    <w:uiPriority w:val="99"/>
    <w:semiHidden/>
    <w:unhideWhenUsed/>
    <w:rsid w:val="007F363B"/>
    <w:rPr>
      <w:sz w:val="16"/>
      <w:szCs w:val="16"/>
    </w:rPr>
  </w:style>
  <w:style w:type="paragraph" w:styleId="Tekstkomentarza">
    <w:name w:val="annotation text"/>
    <w:basedOn w:val="Normalny"/>
    <w:link w:val="TekstkomentarzaZnak"/>
    <w:uiPriority w:val="99"/>
    <w:semiHidden/>
    <w:unhideWhenUsed/>
    <w:rsid w:val="007F363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363B"/>
    <w:rPr>
      <w:lang w:eastAsia="en-US"/>
    </w:rPr>
  </w:style>
  <w:style w:type="paragraph" w:styleId="Tematkomentarza">
    <w:name w:val="annotation subject"/>
    <w:basedOn w:val="Tekstkomentarza"/>
    <w:next w:val="Tekstkomentarza"/>
    <w:link w:val="TematkomentarzaZnak"/>
    <w:uiPriority w:val="99"/>
    <w:semiHidden/>
    <w:unhideWhenUsed/>
    <w:rsid w:val="007F363B"/>
    <w:rPr>
      <w:b/>
      <w:bCs/>
    </w:rPr>
  </w:style>
  <w:style w:type="character" w:customStyle="1" w:styleId="TematkomentarzaZnak">
    <w:name w:val="Temat komentarza Znak"/>
    <w:basedOn w:val="TekstkomentarzaZnak"/>
    <w:link w:val="Tematkomentarza"/>
    <w:uiPriority w:val="99"/>
    <w:semiHidden/>
    <w:rsid w:val="007F363B"/>
    <w:rPr>
      <w:b/>
      <w:bCs/>
      <w:lang w:eastAsia="en-US"/>
    </w:rPr>
  </w:style>
  <w:style w:type="character" w:styleId="UyteHipercze">
    <w:name w:val="FollowedHyperlink"/>
    <w:basedOn w:val="Domylnaczcionkaakapitu"/>
    <w:uiPriority w:val="99"/>
    <w:semiHidden/>
    <w:unhideWhenUsed/>
    <w:rsid w:val="00F779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20714">
      <w:bodyDiv w:val="1"/>
      <w:marLeft w:val="0"/>
      <w:marRight w:val="0"/>
      <w:marTop w:val="0"/>
      <w:marBottom w:val="0"/>
      <w:divBdr>
        <w:top w:val="none" w:sz="0" w:space="0" w:color="auto"/>
        <w:left w:val="none" w:sz="0" w:space="0" w:color="auto"/>
        <w:bottom w:val="none" w:sz="0" w:space="0" w:color="auto"/>
        <w:right w:val="none" w:sz="0" w:space="0" w:color="auto"/>
      </w:divBdr>
    </w:div>
    <w:div w:id="984625536">
      <w:bodyDiv w:val="1"/>
      <w:marLeft w:val="0"/>
      <w:marRight w:val="0"/>
      <w:marTop w:val="0"/>
      <w:marBottom w:val="0"/>
      <w:divBdr>
        <w:top w:val="none" w:sz="0" w:space="0" w:color="auto"/>
        <w:left w:val="none" w:sz="0" w:space="0" w:color="auto"/>
        <w:bottom w:val="none" w:sz="0" w:space="0" w:color="auto"/>
        <w:right w:val="none" w:sz="0" w:space="0" w:color="auto"/>
      </w:divBdr>
    </w:div>
    <w:div w:id="1268197056">
      <w:bodyDiv w:val="1"/>
      <w:marLeft w:val="0"/>
      <w:marRight w:val="0"/>
      <w:marTop w:val="0"/>
      <w:marBottom w:val="0"/>
      <w:divBdr>
        <w:top w:val="none" w:sz="0" w:space="0" w:color="auto"/>
        <w:left w:val="none" w:sz="0" w:space="0" w:color="auto"/>
        <w:bottom w:val="none" w:sz="0" w:space="0" w:color="auto"/>
        <w:right w:val="none" w:sz="0" w:space="0" w:color="auto"/>
      </w:divBdr>
    </w:div>
    <w:div w:id="1402102140">
      <w:bodyDiv w:val="1"/>
      <w:marLeft w:val="0"/>
      <w:marRight w:val="0"/>
      <w:marTop w:val="0"/>
      <w:marBottom w:val="0"/>
      <w:divBdr>
        <w:top w:val="none" w:sz="0" w:space="0" w:color="auto"/>
        <w:left w:val="none" w:sz="0" w:space="0" w:color="auto"/>
        <w:bottom w:val="none" w:sz="0" w:space="0" w:color="auto"/>
        <w:right w:val="none" w:sz="0" w:space="0" w:color="auto"/>
      </w:divBdr>
    </w:div>
    <w:div w:id="1780761153">
      <w:bodyDiv w:val="1"/>
      <w:marLeft w:val="0"/>
      <w:marRight w:val="0"/>
      <w:marTop w:val="0"/>
      <w:marBottom w:val="0"/>
      <w:divBdr>
        <w:top w:val="none" w:sz="0" w:space="0" w:color="auto"/>
        <w:left w:val="none" w:sz="0" w:space="0" w:color="auto"/>
        <w:bottom w:val="none" w:sz="0" w:space="0" w:color="auto"/>
        <w:right w:val="none" w:sz="0" w:space="0" w:color="auto"/>
      </w:divBdr>
    </w:div>
    <w:div w:id="1879199219">
      <w:bodyDiv w:val="1"/>
      <w:marLeft w:val="0"/>
      <w:marRight w:val="0"/>
      <w:marTop w:val="0"/>
      <w:marBottom w:val="0"/>
      <w:divBdr>
        <w:top w:val="none" w:sz="0" w:space="0" w:color="auto"/>
        <w:left w:val="none" w:sz="0" w:space="0" w:color="auto"/>
        <w:bottom w:val="none" w:sz="0" w:space="0" w:color="auto"/>
        <w:right w:val="none" w:sz="0" w:space="0" w:color="auto"/>
      </w:divBdr>
    </w:div>
    <w:div w:id="197945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ynekpierwotny.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ynekpierwotny.pl/" TargetMode="External"/><Relationship Id="rId4" Type="http://schemas.openxmlformats.org/officeDocument/2006/relationships/settings" Target="settings.xml"/><Relationship Id="rId9" Type="http://schemas.openxmlformats.org/officeDocument/2006/relationships/hyperlink" Target="https://rynekpierwotny.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A948-74EE-46C4-AA71-52FAB671F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3185</Words>
  <Characters>19116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Prajsnar</dc:creator>
  <cp:keywords/>
  <dc:description/>
  <cp:lastModifiedBy>Agnieszka Studzińska</cp:lastModifiedBy>
  <cp:revision>4</cp:revision>
  <cp:lastPrinted>2022-08-09T11:51:00Z</cp:lastPrinted>
  <dcterms:created xsi:type="dcterms:W3CDTF">2025-07-24T08:59:00Z</dcterms:created>
  <dcterms:modified xsi:type="dcterms:W3CDTF">2025-07-24T09:11:00Z</dcterms:modified>
</cp:coreProperties>
</file>