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C0940" w14:textId="298FCB5A" w:rsidR="006170B5" w:rsidRPr="003252BE" w:rsidRDefault="006170B5" w:rsidP="006170B5">
      <w:pPr>
        <w:jc w:val="right"/>
        <w:rPr>
          <w:rFonts w:ascii="Poppins" w:hAnsi="Poppins" w:cs="Poppins"/>
          <w:sz w:val="20"/>
          <w:szCs w:val="20"/>
        </w:rPr>
      </w:pPr>
      <w:r w:rsidRPr="003252BE">
        <w:rPr>
          <w:rFonts w:ascii="Poppins" w:hAnsi="Poppins" w:cs="Poppins"/>
          <w:sz w:val="20"/>
          <w:szCs w:val="20"/>
        </w:rPr>
        <w:t xml:space="preserve">Warszawa, </w:t>
      </w:r>
      <w:r w:rsidR="00E66358" w:rsidRPr="003252BE">
        <w:rPr>
          <w:rFonts w:ascii="Poppins" w:hAnsi="Poppins" w:cs="Poppins"/>
          <w:sz w:val="20"/>
          <w:szCs w:val="20"/>
        </w:rPr>
        <w:t>2</w:t>
      </w:r>
      <w:r w:rsidR="003200F7" w:rsidRPr="003252BE">
        <w:rPr>
          <w:rFonts w:ascii="Poppins" w:hAnsi="Poppins" w:cs="Poppins"/>
          <w:sz w:val="20"/>
          <w:szCs w:val="20"/>
        </w:rPr>
        <w:t>7</w:t>
      </w:r>
      <w:r w:rsidR="00BF2F46" w:rsidRPr="003252BE">
        <w:rPr>
          <w:rFonts w:ascii="Poppins" w:hAnsi="Poppins" w:cs="Poppins"/>
          <w:sz w:val="20"/>
          <w:szCs w:val="20"/>
        </w:rPr>
        <w:t>.</w:t>
      </w:r>
      <w:r w:rsidR="003200F7" w:rsidRPr="003252BE">
        <w:rPr>
          <w:rFonts w:ascii="Poppins" w:hAnsi="Poppins" w:cs="Poppins"/>
          <w:sz w:val="20"/>
          <w:szCs w:val="20"/>
        </w:rPr>
        <w:t>0</w:t>
      </w:r>
      <w:r w:rsidR="00E66358" w:rsidRPr="003252BE">
        <w:rPr>
          <w:rFonts w:ascii="Poppins" w:hAnsi="Poppins" w:cs="Poppins"/>
          <w:sz w:val="20"/>
          <w:szCs w:val="20"/>
        </w:rPr>
        <w:t>2</w:t>
      </w:r>
      <w:r w:rsidR="00BF2F46" w:rsidRPr="003252BE">
        <w:rPr>
          <w:rFonts w:ascii="Poppins" w:hAnsi="Poppins" w:cs="Poppins"/>
          <w:sz w:val="20"/>
          <w:szCs w:val="20"/>
        </w:rPr>
        <w:t>.2</w:t>
      </w:r>
      <w:r w:rsidR="006637AD" w:rsidRPr="003252BE">
        <w:rPr>
          <w:rFonts w:ascii="Poppins" w:hAnsi="Poppins" w:cs="Poppins"/>
          <w:sz w:val="20"/>
          <w:szCs w:val="20"/>
        </w:rPr>
        <w:t>0</w:t>
      </w:r>
      <w:r w:rsidR="00BF2F46" w:rsidRPr="003252BE">
        <w:rPr>
          <w:rFonts w:ascii="Poppins" w:hAnsi="Poppins" w:cs="Poppins"/>
          <w:sz w:val="20"/>
          <w:szCs w:val="20"/>
        </w:rPr>
        <w:t>2</w:t>
      </w:r>
      <w:r w:rsidR="00485EF7" w:rsidRPr="003252BE">
        <w:rPr>
          <w:rFonts w:ascii="Poppins" w:hAnsi="Poppins" w:cs="Poppins"/>
          <w:sz w:val="20"/>
          <w:szCs w:val="20"/>
        </w:rPr>
        <w:t>4</w:t>
      </w:r>
      <w:r w:rsidR="00BF2F46" w:rsidRPr="003252BE">
        <w:rPr>
          <w:rFonts w:ascii="Poppins" w:hAnsi="Poppins" w:cs="Poppins"/>
          <w:sz w:val="20"/>
          <w:szCs w:val="20"/>
        </w:rPr>
        <w:t xml:space="preserve"> r.</w:t>
      </w:r>
    </w:p>
    <w:p w14:paraId="71BEDF8E" w14:textId="29FC334B" w:rsidR="00293F01" w:rsidRPr="003252BE" w:rsidRDefault="00293F01" w:rsidP="0034597C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  <w:r w:rsidRPr="003252BE">
        <w:rPr>
          <w:rFonts w:ascii="Poppins" w:hAnsi="Poppins" w:cs="Poppins"/>
          <w:sz w:val="24"/>
          <w:szCs w:val="24"/>
        </w:rPr>
        <w:t xml:space="preserve">Autor: </w:t>
      </w:r>
      <w:r w:rsidR="00BF2F46" w:rsidRPr="003252BE">
        <w:rPr>
          <w:rFonts w:ascii="Poppins" w:hAnsi="Poppins" w:cs="Poppins"/>
          <w:sz w:val="24"/>
          <w:szCs w:val="24"/>
        </w:rPr>
        <w:t>Jarosław Jędrzyński</w:t>
      </w:r>
    </w:p>
    <w:p w14:paraId="0AEFA339" w14:textId="75FE7F48" w:rsidR="00697F5E" w:rsidRPr="003252BE" w:rsidRDefault="00E66358" w:rsidP="0034597C">
      <w:pPr>
        <w:spacing w:before="120" w:after="120" w:line="240" w:lineRule="auto"/>
        <w:rPr>
          <w:rFonts w:ascii="Poppins" w:eastAsia="Times New Roman" w:hAnsi="Poppins" w:cs="Poppins"/>
          <w:b/>
          <w:bCs/>
          <w:sz w:val="32"/>
          <w:szCs w:val="32"/>
          <w:lang w:eastAsia="pl-PL"/>
        </w:rPr>
      </w:pPr>
      <w:r w:rsidRPr="003252BE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>C</w:t>
      </w:r>
      <w:r w:rsidR="006C27C0" w:rsidRPr="003252BE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>en</w:t>
      </w:r>
      <w:r w:rsidRPr="003252BE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>y</w:t>
      </w:r>
      <w:r w:rsidR="006C27C0" w:rsidRPr="003252BE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 xml:space="preserve"> materiałów budowlanych</w:t>
      </w:r>
      <w:r w:rsidRPr="003252BE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 xml:space="preserve"> wciąż w korekcyjnej stabilizacji</w:t>
      </w:r>
    </w:p>
    <w:p w14:paraId="75838D02" w14:textId="1ECE9B6E" w:rsidR="00223FBE" w:rsidRPr="003252BE" w:rsidRDefault="00775FF2" w:rsidP="00223FBE">
      <w:pPr>
        <w:spacing w:before="120" w:after="120" w:line="240" w:lineRule="auto"/>
        <w:rPr>
          <w:rFonts w:ascii="Poppins" w:eastAsia="Times New Roman" w:hAnsi="Poppins" w:cs="Poppins"/>
          <w:b/>
          <w:bCs/>
          <w:sz w:val="24"/>
          <w:szCs w:val="24"/>
          <w:lang w:eastAsia="pl-PL"/>
        </w:rPr>
      </w:pPr>
      <w:r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Umiarkowana k</w:t>
      </w:r>
      <w:r w:rsidR="008E6612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orekta cen na</w:t>
      </w:r>
      <w:r w:rsidR="00CB10E5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</w:t>
      </w:r>
      <w:r w:rsidR="00C32CEE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krajow</w:t>
      </w:r>
      <w:r w:rsidR="008E6612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ym</w:t>
      </w:r>
      <w:r w:rsidR="00156A7F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ryn</w:t>
      </w:r>
      <w:r w:rsidR="008E6612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ku</w:t>
      </w:r>
      <w:r w:rsidR="00156A7F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materiałów budowlanych</w:t>
      </w:r>
      <w:r w:rsidR="008E6612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</w:t>
      </w:r>
      <w:r w:rsidR="00E66358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zdaje się nie mieć końca. </w:t>
      </w:r>
      <w:r w:rsidR="008E6612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W </w:t>
      </w:r>
      <w:r w:rsidR="00E66358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styczniu</w:t>
      </w:r>
      <w:r w:rsidR="008E6612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spadkowy trend </w:t>
      </w:r>
      <w:r w:rsidR="00E66358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o symbolicznym wymiarze </w:t>
      </w:r>
      <w:r w:rsidR="008E6612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był </w:t>
      </w:r>
      <w:r w:rsidR="004B0A9B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kontynuowa</w:t>
      </w:r>
      <w:r w:rsidR="008E6612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ny, </w:t>
      </w:r>
      <w:r w:rsidR="00E66358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a</w:t>
      </w:r>
      <w:r w:rsidR="00C32CEE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regres stawek </w:t>
      </w:r>
      <w:r w:rsidR="004B0A9B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w relacji rok do roku </w:t>
      </w:r>
      <w:r w:rsidR="00C32CEE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wyniósł</w:t>
      </w:r>
      <w:r w:rsidR="00E66358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podobnie jak miesiąc wcześniej</w:t>
      </w:r>
      <w:r w:rsidR="00C32CEE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</w:t>
      </w:r>
      <w:r w:rsidR="00631ADB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zaledwie 0,3</w:t>
      </w:r>
      <w:r w:rsidR="000C5788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procent</w:t>
      </w:r>
      <w:r w:rsidR="00E66358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. </w:t>
      </w:r>
      <w:r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Tym samym oczekiwany średni wzrost </w:t>
      </w:r>
      <w:r w:rsidR="00281559"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cen</w:t>
      </w:r>
      <w:r w:rsidRPr="003252BE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wciąż nie może dojść do skutku, jednak jak się wydaje jest to tylko kwestią czasu.</w:t>
      </w:r>
    </w:p>
    <w:p w14:paraId="72E4BB29" w14:textId="07F97CD5" w:rsidR="00151208" w:rsidRPr="003252BE" w:rsidRDefault="00631ADB" w:rsidP="00223FBE">
      <w:pPr>
        <w:spacing w:before="120" w:after="120" w:line="240" w:lineRule="auto"/>
        <w:rPr>
          <w:rFonts w:ascii="Poppins" w:eastAsia="Times New Roman" w:hAnsi="Poppins" w:cs="Poppins"/>
          <w:sz w:val="24"/>
          <w:szCs w:val="24"/>
          <w:lang w:eastAsia="pl-PL"/>
        </w:rPr>
      </w:pPr>
      <w:r w:rsidRPr="003252BE">
        <w:rPr>
          <w:rFonts w:ascii="Poppins" w:eastAsia="Times New Roman" w:hAnsi="Poppins" w:cs="Poppins"/>
          <w:sz w:val="24"/>
          <w:szCs w:val="24"/>
          <w:lang w:eastAsia="pl-PL"/>
        </w:rPr>
        <w:t>Publikowana przez Grupę PSB u</w:t>
      </w:r>
      <w:r w:rsidR="00FC7E43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jemna dynamika </w:t>
      </w:r>
      <w:r w:rsidR="00DA106A" w:rsidRPr="003252BE">
        <w:rPr>
          <w:rFonts w:ascii="Poppins" w:eastAsia="Times New Roman" w:hAnsi="Poppins" w:cs="Poppins"/>
          <w:sz w:val="24"/>
          <w:szCs w:val="24"/>
          <w:lang w:eastAsia="pl-PL"/>
        </w:rPr>
        <w:t>cen materiałów budowlanych</w:t>
      </w:r>
      <w:r w:rsidR="003E1930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w relacji rok do roku</w:t>
      </w:r>
      <w:r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po raz kolejny sygnalizuje swój </w:t>
      </w:r>
      <w:r w:rsidR="00775FF2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minimalnie ujemny wymiar przy silnej stabilizacji obowiązującego trendu. </w:t>
      </w:r>
      <w:r w:rsidR="00FC7E43" w:rsidRPr="003252BE">
        <w:rPr>
          <w:rFonts w:ascii="Poppins" w:eastAsia="Times New Roman" w:hAnsi="Poppins" w:cs="Poppins"/>
          <w:sz w:val="24"/>
          <w:szCs w:val="24"/>
          <w:lang w:eastAsia="pl-PL"/>
        </w:rPr>
        <w:t>T</w:t>
      </w:r>
      <w:r w:rsidR="0050558D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en sam wskaźnik liczony w </w:t>
      </w:r>
      <w:r w:rsidR="00BE11C3" w:rsidRPr="003252BE">
        <w:rPr>
          <w:rFonts w:ascii="Poppins" w:eastAsia="Times New Roman" w:hAnsi="Poppins" w:cs="Poppins"/>
          <w:sz w:val="24"/>
          <w:szCs w:val="24"/>
          <w:lang w:eastAsia="pl-PL"/>
        </w:rPr>
        <w:t>relacji miesiąc do miesiąca odnotował równie symboliczny wzrost w wymiarze 0,2 proc.</w:t>
      </w:r>
      <w:r w:rsidR="00DF1112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</w:t>
      </w:r>
      <w:r w:rsidR="00BE11C3" w:rsidRPr="003252BE">
        <w:rPr>
          <w:rFonts w:ascii="Poppins" w:eastAsia="Times New Roman" w:hAnsi="Poppins" w:cs="Poppins"/>
          <w:sz w:val="24"/>
          <w:szCs w:val="24"/>
          <w:lang w:eastAsia="pl-PL"/>
        </w:rPr>
        <w:t>W</w:t>
      </w:r>
      <w:r w:rsidR="00CA0F06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kanale detalicznym zanotowano spadek rzędu -0,</w:t>
      </w:r>
      <w:r w:rsidR="00BE11C3" w:rsidRPr="003252BE">
        <w:rPr>
          <w:rFonts w:ascii="Poppins" w:eastAsia="Times New Roman" w:hAnsi="Poppins" w:cs="Poppins"/>
          <w:sz w:val="24"/>
          <w:szCs w:val="24"/>
          <w:lang w:eastAsia="pl-PL"/>
        </w:rPr>
        <w:t>6</w:t>
      </w:r>
      <w:r w:rsidR="00CA0F06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proc., </w:t>
      </w:r>
      <w:r w:rsidR="00BE11C3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z kolei </w:t>
      </w:r>
      <w:r w:rsidR="00CA0F06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w kanale hurtowym nastąpił wzrost o </w:t>
      </w:r>
      <w:r w:rsidR="00BE11C3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zaledwie </w:t>
      </w:r>
      <w:r w:rsidR="00CA0F06" w:rsidRPr="003252BE">
        <w:rPr>
          <w:rFonts w:ascii="Poppins" w:eastAsia="Times New Roman" w:hAnsi="Poppins" w:cs="Poppins"/>
          <w:sz w:val="24"/>
          <w:szCs w:val="24"/>
          <w:lang w:eastAsia="pl-PL"/>
        </w:rPr>
        <w:t>0,</w:t>
      </w:r>
      <w:r w:rsidR="00BE11C3" w:rsidRPr="003252BE">
        <w:rPr>
          <w:rFonts w:ascii="Poppins" w:eastAsia="Times New Roman" w:hAnsi="Poppins" w:cs="Poppins"/>
          <w:sz w:val="24"/>
          <w:szCs w:val="24"/>
          <w:lang w:eastAsia="pl-PL"/>
        </w:rPr>
        <w:t>1</w:t>
      </w:r>
      <w:r w:rsidR="00CA0F06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proc.</w:t>
      </w:r>
      <w:r w:rsidR="00BE11C3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</w:t>
      </w:r>
    </w:p>
    <w:p w14:paraId="10DA2943" w14:textId="5B48F7A0" w:rsidR="003252BE" w:rsidRPr="003252BE" w:rsidRDefault="003252BE" w:rsidP="003252BE">
      <w:pPr>
        <w:spacing w:before="120" w:after="120" w:line="240" w:lineRule="auto"/>
        <w:contextualSpacing/>
        <w:rPr>
          <w:rFonts w:ascii="Poppins" w:eastAsia="Times New Roman" w:hAnsi="Poppins" w:cs="Poppins"/>
          <w:b/>
          <w:bCs/>
          <w:sz w:val="18"/>
          <w:szCs w:val="18"/>
          <w:lang w:eastAsia="pl-PL"/>
        </w:rPr>
      </w:pPr>
      <w:r w:rsidRPr="003252BE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drawing>
          <wp:inline distT="0" distB="0" distL="0" distR="0" wp14:anchorId="6B149D0F" wp14:editId="544F0C7F">
            <wp:extent cx="6553200" cy="4347302"/>
            <wp:effectExtent l="0" t="0" r="0" b="0"/>
            <wp:docPr id="794710370" name="Obraz 2" descr="Obraz zawierający tekst, zrzut ekranu, linia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710370" name="Obraz 2" descr="Obraz zawierający tekst, zrzut ekranu, linia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6449" cy="4349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90D1B" w14:textId="77777777" w:rsidR="00697F5E" w:rsidRPr="003252BE" w:rsidRDefault="00697F5E" w:rsidP="00697F5E">
      <w:pPr>
        <w:spacing w:before="120" w:after="120" w:line="240" w:lineRule="auto"/>
        <w:contextualSpacing/>
        <w:rPr>
          <w:rFonts w:ascii="Poppins" w:eastAsia="Times New Roman" w:hAnsi="Poppins" w:cs="Poppins"/>
          <w:b/>
          <w:bCs/>
          <w:sz w:val="18"/>
          <w:szCs w:val="18"/>
          <w:lang w:eastAsia="pl-PL"/>
        </w:rPr>
      </w:pPr>
      <w:r w:rsidRPr="003252BE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 xml:space="preserve">                                                  </w:t>
      </w:r>
    </w:p>
    <w:p w14:paraId="1D8997AD" w14:textId="1F75E613" w:rsidR="007C3885" w:rsidRPr="003252BE" w:rsidRDefault="00BE11C3" w:rsidP="0043352D">
      <w:pPr>
        <w:spacing w:before="120" w:after="120" w:line="240" w:lineRule="auto"/>
        <w:rPr>
          <w:rFonts w:ascii="Poppins" w:eastAsia="Times New Roman" w:hAnsi="Poppins" w:cs="Poppins"/>
          <w:sz w:val="24"/>
          <w:szCs w:val="24"/>
          <w:lang w:eastAsia="pl-PL"/>
        </w:rPr>
      </w:pPr>
      <w:r w:rsidRPr="003252BE">
        <w:rPr>
          <w:rFonts w:ascii="Poppins" w:eastAsia="Times New Roman" w:hAnsi="Poppins" w:cs="Poppins"/>
          <w:sz w:val="24"/>
          <w:szCs w:val="24"/>
          <w:lang w:eastAsia="pl-PL"/>
        </w:rPr>
        <w:t>Styczniowy</w:t>
      </w:r>
      <w:r w:rsidR="00DF1112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o</w:t>
      </w:r>
      <w:r w:rsidR="0043352D" w:rsidRPr="003252BE">
        <w:rPr>
          <w:rFonts w:ascii="Poppins" w:eastAsia="Times New Roman" w:hAnsi="Poppins" w:cs="Poppins"/>
          <w:sz w:val="24"/>
          <w:szCs w:val="24"/>
          <w:lang w:eastAsia="pl-PL"/>
        </w:rPr>
        <w:t>dczy</w:t>
      </w:r>
      <w:r w:rsidR="006D7A4B" w:rsidRPr="003252BE">
        <w:rPr>
          <w:rFonts w:ascii="Poppins" w:eastAsia="Times New Roman" w:hAnsi="Poppins" w:cs="Poppins"/>
          <w:sz w:val="24"/>
          <w:szCs w:val="24"/>
          <w:lang w:eastAsia="pl-PL"/>
        </w:rPr>
        <w:t>t</w:t>
      </w:r>
      <w:r w:rsidR="00135E4C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</w:t>
      </w:r>
      <w:r w:rsidR="0043352D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dynamiki cen materiałów budowlanych </w:t>
      </w:r>
      <w:r w:rsidR="00F15BA8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w relacji rok do roku </w:t>
      </w:r>
      <w:r w:rsidR="006A60E1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wskazuje na </w:t>
      </w:r>
      <w:r w:rsidR="00F15BA8" w:rsidRPr="003252BE">
        <w:rPr>
          <w:rFonts w:ascii="Poppins" w:eastAsia="Times New Roman" w:hAnsi="Poppins" w:cs="Poppins"/>
          <w:sz w:val="24"/>
          <w:szCs w:val="24"/>
          <w:lang w:eastAsia="pl-PL"/>
        </w:rPr>
        <w:t>wciąż</w:t>
      </w:r>
      <w:r w:rsidR="00C70187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dominującą</w:t>
      </w:r>
      <w:r w:rsidR="00F15BA8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</w:t>
      </w:r>
      <w:r w:rsidR="00B44782" w:rsidRPr="003252BE">
        <w:rPr>
          <w:rFonts w:ascii="Poppins" w:eastAsia="Times New Roman" w:hAnsi="Poppins" w:cs="Poppins"/>
          <w:sz w:val="24"/>
          <w:szCs w:val="24"/>
          <w:lang w:eastAsia="pl-PL"/>
        </w:rPr>
        <w:t>pozycj</w:t>
      </w:r>
      <w:r w:rsidR="00F15BA8" w:rsidRPr="003252BE">
        <w:rPr>
          <w:rFonts w:ascii="Poppins" w:eastAsia="Times New Roman" w:hAnsi="Poppins" w:cs="Poppins"/>
          <w:sz w:val="24"/>
          <w:szCs w:val="24"/>
          <w:lang w:eastAsia="pl-PL"/>
        </w:rPr>
        <w:t>ę taniejących grup towarowych</w:t>
      </w:r>
      <w:r w:rsidR="00B01A5D" w:rsidRPr="003252BE">
        <w:rPr>
          <w:rFonts w:ascii="Poppins" w:eastAsia="Times New Roman" w:hAnsi="Poppins" w:cs="Poppins"/>
          <w:sz w:val="24"/>
          <w:szCs w:val="24"/>
          <w:lang w:eastAsia="pl-PL"/>
        </w:rPr>
        <w:t>, które tym razem objęły 1</w:t>
      </w:r>
      <w:r w:rsidRPr="003252BE">
        <w:rPr>
          <w:rFonts w:ascii="Poppins" w:eastAsia="Times New Roman" w:hAnsi="Poppins" w:cs="Poppins"/>
          <w:sz w:val="24"/>
          <w:szCs w:val="24"/>
          <w:lang w:eastAsia="pl-PL"/>
        </w:rPr>
        <w:t>3</w:t>
      </w:r>
      <w:r w:rsidR="00B01A5D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pozycji, natomiast w </w:t>
      </w:r>
      <w:r w:rsidRPr="003252BE">
        <w:rPr>
          <w:rFonts w:ascii="Poppins" w:eastAsia="Times New Roman" w:hAnsi="Poppins" w:cs="Poppins"/>
          <w:sz w:val="24"/>
          <w:szCs w:val="24"/>
          <w:lang w:eastAsia="pl-PL"/>
        </w:rPr>
        <w:t>7</w:t>
      </w:r>
      <w:r w:rsidR="00B01A5D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przypadkach </w:t>
      </w:r>
      <w:r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stawki nieznacznie </w:t>
      </w:r>
      <w:r w:rsidR="00B01A5D" w:rsidRPr="003252BE">
        <w:rPr>
          <w:rFonts w:ascii="Poppins" w:eastAsia="Times New Roman" w:hAnsi="Poppins" w:cs="Poppins"/>
          <w:sz w:val="24"/>
          <w:szCs w:val="24"/>
          <w:lang w:eastAsia="pl-PL"/>
        </w:rPr>
        <w:t>wzrosły.</w:t>
      </w:r>
      <w:r w:rsidR="0088431F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</w:t>
      </w:r>
    </w:p>
    <w:p w14:paraId="1F729724" w14:textId="7BE109D9" w:rsidR="006A60E1" w:rsidRPr="003252BE" w:rsidRDefault="00B34D3D" w:rsidP="00B01A5D">
      <w:pPr>
        <w:pStyle w:val="Tekstpodstawowy3"/>
        <w:spacing w:after="0"/>
        <w:jc w:val="both"/>
        <w:rPr>
          <w:rFonts w:ascii="Poppins" w:hAnsi="Poppins" w:cs="Poppins"/>
          <w:b/>
          <w:bCs/>
          <w:sz w:val="24"/>
          <w:szCs w:val="24"/>
        </w:rPr>
      </w:pPr>
      <w:r w:rsidRPr="003252BE">
        <w:rPr>
          <w:rFonts w:ascii="Poppins" w:hAnsi="Poppins" w:cs="Poppins"/>
          <w:sz w:val="24"/>
          <w:szCs w:val="24"/>
        </w:rPr>
        <w:lastRenderedPageBreak/>
        <w:t xml:space="preserve">Wśród </w:t>
      </w:r>
      <w:r w:rsidR="008B54EA" w:rsidRPr="003252BE">
        <w:rPr>
          <w:rFonts w:ascii="Poppins" w:hAnsi="Poppins" w:cs="Poppins"/>
          <w:sz w:val="24"/>
          <w:szCs w:val="24"/>
        </w:rPr>
        <w:t>materiałów naj</w:t>
      </w:r>
      <w:r w:rsidR="00A136B2" w:rsidRPr="003252BE">
        <w:rPr>
          <w:rFonts w:ascii="Poppins" w:hAnsi="Poppins" w:cs="Poppins"/>
          <w:sz w:val="24"/>
          <w:szCs w:val="24"/>
        </w:rPr>
        <w:t>bardziej</w:t>
      </w:r>
      <w:r w:rsidR="008B54EA" w:rsidRPr="003252BE">
        <w:rPr>
          <w:rFonts w:ascii="Poppins" w:hAnsi="Poppins" w:cs="Poppins"/>
          <w:sz w:val="24"/>
          <w:szCs w:val="24"/>
        </w:rPr>
        <w:t xml:space="preserve"> </w:t>
      </w:r>
      <w:r w:rsidR="00584FB3" w:rsidRPr="003252BE">
        <w:rPr>
          <w:rFonts w:ascii="Poppins" w:hAnsi="Poppins" w:cs="Poppins"/>
          <w:sz w:val="24"/>
          <w:szCs w:val="24"/>
        </w:rPr>
        <w:t>przecenionych</w:t>
      </w:r>
      <w:r w:rsidR="008B54EA" w:rsidRPr="003252BE">
        <w:rPr>
          <w:rFonts w:ascii="Poppins" w:hAnsi="Poppins" w:cs="Poppins"/>
          <w:sz w:val="24"/>
          <w:szCs w:val="24"/>
        </w:rPr>
        <w:t xml:space="preserve"> </w:t>
      </w:r>
      <w:r w:rsidR="00A136B2" w:rsidRPr="003252BE">
        <w:rPr>
          <w:rFonts w:ascii="Poppins" w:hAnsi="Poppins" w:cs="Poppins"/>
          <w:sz w:val="24"/>
          <w:szCs w:val="24"/>
        </w:rPr>
        <w:t xml:space="preserve">rok do roku </w:t>
      </w:r>
      <w:r w:rsidR="00B01A5D" w:rsidRPr="003252BE">
        <w:rPr>
          <w:rFonts w:ascii="Poppins" w:hAnsi="Poppins" w:cs="Poppins"/>
          <w:sz w:val="24"/>
          <w:szCs w:val="24"/>
        </w:rPr>
        <w:t xml:space="preserve">tym razem przodują sucha zabudowa i dachy, rynny </w:t>
      </w:r>
      <w:r w:rsidR="00A136B2" w:rsidRPr="003252BE">
        <w:rPr>
          <w:rFonts w:ascii="Poppins" w:hAnsi="Poppins" w:cs="Poppins"/>
          <w:sz w:val="24"/>
          <w:szCs w:val="24"/>
        </w:rPr>
        <w:t xml:space="preserve">z </w:t>
      </w:r>
      <w:r w:rsidR="00BE11C3" w:rsidRPr="003252BE">
        <w:rPr>
          <w:rFonts w:ascii="Poppins" w:hAnsi="Poppins" w:cs="Poppins"/>
          <w:sz w:val="24"/>
          <w:szCs w:val="24"/>
        </w:rPr>
        <w:t xml:space="preserve">przeceną </w:t>
      </w:r>
      <w:r w:rsidR="00E1127B" w:rsidRPr="003252BE">
        <w:rPr>
          <w:rFonts w:ascii="Poppins" w:hAnsi="Poppins" w:cs="Poppins"/>
          <w:sz w:val="24"/>
          <w:szCs w:val="24"/>
        </w:rPr>
        <w:t>równ</w:t>
      </w:r>
      <w:r w:rsidR="00BE11C3" w:rsidRPr="003252BE">
        <w:rPr>
          <w:rFonts w:ascii="Poppins" w:hAnsi="Poppins" w:cs="Poppins"/>
          <w:sz w:val="24"/>
          <w:szCs w:val="24"/>
        </w:rPr>
        <w:t>ą 5</w:t>
      </w:r>
      <w:r w:rsidR="00281559" w:rsidRPr="003252BE">
        <w:rPr>
          <w:rFonts w:ascii="Poppins" w:hAnsi="Poppins" w:cs="Poppins"/>
          <w:sz w:val="24"/>
          <w:szCs w:val="24"/>
        </w:rPr>
        <w:t xml:space="preserve"> </w:t>
      </w:r>
      <w:r w:rsidR="00A136B2" w:rsidRPr="003252BE">
        <w:rPr>
          <w:rFonts w:ascii="Poppins" w:hAnsi="Poppins" w:cs="Poppins"/>
          <w:sz w:val="24"/>
          <w:szCs w:val="24"/>
        </w:rPr>
        <w:t>proc.</w:t>
      </w:r>
      <w:r w:rsidR="00F41D76" w:rsidRPr="003252BE">
        <w:rPr>
          <w:rFonts w:ascii="Poppins" w:hAnsi="Poppins" w:cs="Poppins"/>
          <w:sz w:val="24"/>
          <w:szCs w:val="24"/>
        </w:rPr>
        <w:t xml:space="preserve"> </w:t>
      </w:r>
      <w:r w:rsidR="00A136B2" w:rsidRPr="003252BE">
        <w:rPr>
          <w:rFonts w:ascii="Poppins" w:hAnsi="Poppins" w:cs="Poppins"/>
          <w:sz w:val="24"/>
          <w:szCs w:val="24"/>
        </w:rPr>
        <w:t xml:space="preserve">Z kolei w górnej części tabeli czołowe miejsca zajmują </w:t>
      </w:r>
      <w:r w:rsidR="00E1127B" w:rsidRPr="003252BE">
        <w:rPr>
          <w:rFonts w:ascii="Poppins" w:hAnsi="Poppins" w:cs="Poppins"/>
          <w:sz w:val="24"/>
          <w:szCs w:val="24"/>
        </w:rPr>
        <w:t>płyty OSB</w:t>
      </w:r>
      <w:r w:rsidR="00BE11C3" w:rsidRPr="003252BE">
        <w:rPr>
          <w:rFonts w:ascii="Poppins" w:hAnsi="Poppins" w:cs="Poppins"/>
          <w:sz w:val="24"/>
          <w:szCs w:val="24"/>
        </w:rPr>
        <w:t>, ściany kominy</w:t>
      </w:r>
      <w:r w:rsidR="00E368D9" w:rsidRPr="003252BE">
        <w:rPr>
          <w:rFonts w:ascii="Poppins" w:hAnsi="Poppins" w:cs="Poppins"/>
          <w:sz w:val="24"/>
          <w:szCs w:val="24"/>
        </w:rPr>
        <w:t>, otoczenie domu oraz cement wapno</w:t>
      </w:r>
      <w:r w:rsidR="000A1032" w:rsidRPr="003252BE">
        <w:rPr>
          <w:rFonts w:ascii="Poppins" w:hAnsi="Poppins" w:cs="Poppins"/>
          <w:sz w:val="24"/>
          <w:szCs w:val="24"/>
        </w:rPr>
        <w:t xml:space="preserve"> z</w:t>
      </w:r>
      <w:r w:rsidR="00B01A5D" w:rsidRPr="003252BE">
        <w:rPr>
          <w:rFonts w:ascii="Poppins" w:hAnsi="Poppins" w:cs="Poppins"/>
          <w:sz w:val="24"/>
          <w:szCs w:val="24"/>
        </w:rPr>
        <w:t>e</w:t>
      </w:r>
      <w:r w:rsidR="000A1032" w:rsidRPr="003252BE">
        <w:rPr>
          <w:rFonts w:ascii="Poppins" w:hAnsi="Poppins" w:cs="Poppins"/>
          <w:sz w:val="24"/>
          <w:szCs w:val="24"/>
        </w:rPr>
        <w:t xml:space="preserve"> zwyżką </w:t>
      </w:r>
      <w:r w:rsidR="00BE11C3" w:rsidRPr="003252BE">
        <w:rPr>
          <w:rFonts w:ascii="Poppins" w:hAnsi="Poppins" w:cs="Poppins"/>
          <w:sz w:val="24"/>
          <w:szCs w:val="24"/>
        </w:rPr>
        <w:t>3</w:t>
      </w:r>
      <w:r w:rsidR="00B01A5D" w:rsidRPr="003252BE">
        <w:rPr>
          <w:rFonts w:ascii="Poppins" w:hAnsi="Poppins" w:cs="Poppins"/>
          <w:sz w:val="24"/>
          <w:szCs w:val="24"/>
        </w:rPr>
        <w:t>-procentową</w:t>
      </w:r>
      <w:r w:rsidR="00E368D9" w:rsidRPr="003252BE">
        <w:rPr>
          <w:rFonts w:ascii="Poppins" w:hAnsi="Poppins" w:cs="Poppins"/>
          <w:sz w:val="24"/>
          <w:szCs w:val="24"/>
        </w:rPr>
        <w:t>.</w:t>
      </w:r>
      <w:r w:rsidR="00B01A5D" w:rsidRPr="003252BE">
        <w:rPr>
          <w:rFonts w:ascii="Poppins" w:hAnsi="Poppins" w:cs="Poppins"/>
          <w:sz w:val="24"/>
          <w:szCs w:val="24"/>
        </w:rPr>
        <w:t xml:space="preserve"> </w:t>
      </w:r>
    </w:p>
    <w:p w14:paraId="42FB3F67" w14:textId="54654823" w:rsidR="00E66358" w:rsidRPr="003252BE" w:rsidRDefault="00E368D9" w:rsidP="00595F9B">
      <w:pPr>
        <w:spacing w:before="120" w:after="120" w:line="240" w:lineRule="auto"/>
        <w:rPr>
          <w:rFonts w:ascii="Poppins" w:eastAsia="Times New Roman" w:hAnsi="Poppins" w:cs="Poppins"/>
          <w:sz w:val="24"/>
          <w:szCs w:val="24"/>
          <w:lang w:eastAsia="pl-PL"/>
        </w:rPr>
      </w:pPr>
      <w:r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Ponownie dała znać o sobie wyraźna tendencja </w:t>
      </w:r>
      <w:r w:rsidR="00E9236B" w:rsidRPr="003252BE">
        <w:rPr>
          <w:rFonts w:ascii="Poppins" w:eastAsia="Times New Roman" w:hAnsi="Poppins" w:cs="Poppins"/>
          <w:sz w:val="24"/>
          <w:szCs w:val="24"/>
          <w:lang w:eastAsia="pl-PL"/>
        </w:rPr>
        <w:t>malejącej sk</w:t>
      </w:r>
      <w:r w:rsidR="00383F62" w:rsidRPr="003252BE">
        <w:rPr>
          <w:rFonts w:ascii="Poppins" w:eastAsia="Times New Roman" w:hAnsi="Poppins" w:cs="Poppins"/>
          <w:sz w:val="24"/>
          <w:szCs w:val="24"/>
          <w:lang w:eastAsia="pl-PL"/>
        </w:rPr>
        <w:t>al</w:t>
      </w:r>
      <w:r w:rsidR="00E9236B" w:rsidRPr="003252BE">
        <w:rPr>
          <w:rFonts w:ascii="Poppins" w:eastAsia="Times New Roman" w:hAnsi="Poppins" w:cs="Poppins"/>
          <w:sz w:val="24"/>
          <w:szCs w:val="24"/>
          <w:lang w:eastAsia="pl-PL"/>
        </w:rPr>
        <w:t>i</w:t>
      </w:r>
      <w:r w:rsidR="00383F62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 zarówno największych wzrostów jak i spadków grup asortymentowych</w:t>
      </w:r>
      <w:r w:rsidR="00E9236B" w:rsidRPr="003252BE">
        <w:rPr>
          <w:rFonts w:ascii="Poppins" w:eastAsia="Times New Roman" w:hAnsi="Poppins" w:cs="Poppins"/>
          <w:sz w:val="24"/>
          <w:szCs w:val="24"/>
          <w:lang w:eastAsia="pl-PL"/>
        </w:rPr>
        <w:t>, co jednoznacznie ś</w:t>
      </w:r>
      <w:r w:rsidR="00383F62" w:rsidRPr="003252BE">
        <w:rPr>
          <w:rFonts w:ascii="Poppins" w:eastAsia="Times New Roman" w:hAnsi="Poppins" w:cs="Poppins"/>
          <w:sz w:val="24"/>
          <w:szCs w:val="24"/>
          <w:lang w:eastAsia="pl-PL"/>
        </w:rPr>
        <w:t xml:space="preserve">wiadczy o dążeniu rynku materiałów budowlanych do stanu pełnej równowagi popytowo-podażowej. </w:t>
      </w:r>
      <w:r w:rsidR="00E9236B" w:rsidRPr="003252BE">
        <w:rPr>
          <w:rFonts w:ascii="Poppins" w:eastAsia="Times New Roman" w:hAnsi="Poppins" w:cs="Poppins"/>
          <w:sz w:val="24"/>
          <w:szCs w:val="24"/>
          <w:lang w:eastAsia="pl-PL"/>
        </w:rPr>
        <w:t>Jednak kolejnym etapem rozwoju koniunktury powinien być raczej nieunikniony powrót do tendencji wzrostowej dynamiki cen.</w:t>
      </w:r>
    </w:p>
    <w:p w14:paraId="0D4A66A1" w14:textId="0A286897" w:rsidR="00F27EC9" w:rsidRPr="003252BE" w:rsidRDefault="00D21D96" w:rsidP="008E4A56">
      <w:pPr>
        <w:shd w:val="clear" w:color="auto" w:fill="FFFFFF"/>
        <w:spacing w:before="120" w:after="120" w:line="240" w:lineRule="auto"/>
        <w:rPr>
          <w:rFonts w:ascii="Poppins" w:eastAsia="Times New Roman" w:hAnsi="Poppins" w:cs="Poppins"/>
          <w:color w:val="333333"/>
          <w:sz w:val="24"/>
          <w:szCs w:val="24"/>
          <w:lang w:eastAsia="pl-PL"/>
        </w:rPr>
      </w:pPr>
      <w:r w:rsidRPr="003252BE">
        <w:rPr>
          <w:rFonts w:ascii="Poppins" w:eastAsia="Times New Roman" w:hAnsi="Poppins" w:cs="Poppins"/>
          <w:color w:val="000000"/>
          <w:sz w:val="24"/>
          <w:szCs w:val="24"/>
          <w:lang w:eastAsia="pl-PL"/>
        </w:rPr>
        <w:t>Głównym czynnikiem stymulującym popyt na materiały budowlane w kraju</w:t>
      </w:r>
      <w:r w:rsidR="00781FF7" w:rsidRPr="003252BE">
        <w:rPr>
          <w:rFonts w:ascii="Poppins" w:eastAsia="Times New Roman" w:hAnsi="Poppins" w:cs="Poppins"/>
          <w:color w:val="000000"/>
          <w:sz w:val="24"/>
          <w:szCs w:val="24"/>
          <w:lang w:eastAsia="pl-PL"/>
        </w:rPr>
        <w:t xml:space="preserve"> pozostaje konieczność </w:t>
      </w:r>
      <w:r w:rsidR="00217901" w:rsidRPr="003252BE">
        <w:rPr>
          <w:rFonts w:ascii="Poppins" w:eastAsia="Times New Roman" w:hAnsi="Poppins" w:cs="Poppins"/>
          <w:color w:val="000000"/>
          <w:sz w:val="24"/>
          <w:szCs w:val="24"/>
          <w:lang w:eastAsia="pl-PL"/>
        </w:rPr>
        <w:t>terminowego</w:t>
      </w:r>
      <w:r w:rsidR="00781FF7" w:rsidRPr="003252BE">
        <w:rPr>
          <w:rFonts w:ascii="Poppins" w:eastAsia="Times New Roman" w:hAnsi="Poppins" w:cs="Poppins"/>
          <w:color w:val="000000"/>
          <w:sz w:val="24"/>
          <w:szCs w:val="24"/>
          <w:lang w:eastAsia="pl-PL"/>
        </w:rPr>
        <w:t xml:space="preserve"> wykorzystania napływających do Polski środków z KPO</w:t>
      </w:r>
      <w:r w:rsidR="00BD0DB8" w:rsidRPr="003252BE">
        <w:rPr>
          <w:rFonts w:ascii="Poppins" w:eastAsia="Times New Roman" w:hAnsi="Poppins" w:cs="Poppins"/>
          <w:color w:val="000000"/>
          <w:sz w:val="24"/>
          <w:szCs w:val="24"/>
          <w:lang w:eastAsia="pl-PL"/>
        </w:rPr>
        <w:t xml:space="preserve">. </w:t>
      </w:r>
      <w:r w:rsidRPr="003252BE">
        <w:rPr>
          <w:rFonts w:ascii="Poppins" w:eastAsia="Times New Roman" w:hAnsi="Poppins" w:cs="Poppins"/>
          <w:color w:val="000000"/>
          <w:sz w:val="24"/>
          <w:szCs w:val="24"/>
          <w:lang w:eastAsia="pl-PL"/>
        </w:rPr>
        <w:t xml:space="preserve">W roku bieżącym inwestycje w jego ramach mają sięgnąć 90 mld zł. </w:t>
      </w:r>
      <w:r w:rsidR="00BD0DB8" w:rsidRPr="003252BE">
        <w:rPr>
          <w:rFonts w:ascii="Poppins" w:eastAsia="Times New Roman" w:hAnsi="Poppins" w:cs="Poppins"/>
          <w:color w:val="000000"/>
          <w:sz w:val="24"/>
          <w:szCs w:val="24"/>
          <w:lang w:eastAsia="pl-PL"/>
        </w:rPr>
        <w:t>J</w:t>
      </w:r>
      <w:r w:rsidR="00781FF7" w:rsidRPr="003252BE">
        <w:rPr>
          <w:rFonts w:ascii="Poppins" w:eastAsia="Times New Roman" w:hAnsi="Poppins" w:cs="Poppins"/>
          <w:color w:val="000000"/>
          <w:sz w:val="24"/>
          <w:szCs w:val="24"/>
          <w:lang w:eastAsia="pl-PL"/>
        </w:rPr>
        <w:t xml:space="preserve">uż w bezpośredniej perspektywie </w:t>
      </w:r>
      <w:r w:rsidR="00BD0DB8" w:rsidRPr="003252BE">
        <w:rPr>
          <w:rFonts w:ascii="Poppins" w:eastAsia="Times New Roman" w:hAnsi="Poppins" w:cs="Poppins"/>
          <w:color w:val="000000"/>
          <w:sz w:val="24"/>
          <w:szCs w:val="24"/>
          <w:lang w:eastAsia="pl-PL"/>
        </w:rPr>
        <w:t xml:space="preserve">powinny one </w:t>
      </w:r>
      <w:r w:rsidR="001F4992" w:rsidRPr="003252BE">
        <w:rPr>
          <w:rFonts w:ascii="Poppins" w:hAnsi="Poppins" w:cs="Poppins"/>
          <w:color w:val="000000"/>
          <w:sz w:val="24"/>
          <w:szCs w:val="24"/>
          <w:shd w:val="clear" w:color="auto" w:fill="FFFFFF"/>
        </w:rPr>
        <w:t>zost</w:t>
      </w:r>
      <w:r w:rsidR="00BD0DB8" w:rsidRPr="003252BE">
        <w:rPr>
          <w:rFonts w:ascii="Poppins" w:hAnsi="Poppins" w:cs="Poppins"/>
          <w:color w:val="000000"/>
          <w:sz w:val="24"/>
          <w:szCs w:val="24"/>
          <w:shd w:val="clear" w:color="auto" w:fill="FFFFFF"/>
        </w:rPr>
        <w:t>ać</w:t>
      </w:r>
      <w:r w:rsidR="001F4992" w:rsidRPr="003252BE">
        <w:rPr>
          <w:rFonts w:ascii="Poppins" w:hAnsi="Poppins" w:cs="Poppins"/>
          <w:color w:val="000000"/>
          <w:sz w:val="24"/>
          <w:szCs w:val="24"/>
          <w:shd w:val="clear" w:color="auto" w:fill="FFFFFF"/>
        </w:rPr>
        <w:t xml:space="preserve"> zainwestowane m.in. w</w:t>
      </w:r>
      <w:r w:rsidRPr="003252BE">
        <w:rPr>
          <w:rFonts w:ascii="Poppins" w:hAnsi="Poppins" w:cs="Poppins"/>
          <w:color w:val="000000"/>
          <w:sz w:val="24"/>
          <w:szCs w:val="24"/>
          <w:shd w:val="clear" w:color="auto" w:fill="FFFFFF"/>
        </w:rPr>
        <w:t xml:space="preserve"> modernizację i budowę 800 km torów kolejowych,</w:t>
      </w:r>
      <w:r w:rsidR="00F27EC9" w:rsidRPr="003252BE">
        <w:rPr>
          <w:rFonts w:ascii="Poppins" w:hAnsi="Poppins" w:cs="Poppins"/>
          <w:color w:val="000000"/>
          <w:sz w:val="24"/>
          <w:szCs w:val="24"/>
          <w:shd w:val="clear" w:color="auto" w:fill="FFFFFF"/>
        </w:rPr>
        <w:t xml:space="preserve"> </w:t>
      </w:r>
      <w:r w:rsidR="001F4992" w:rsidRPr="003252BE">
        <w:rPr>
          <w:rFonts w:ascii="Poppins" w:hAnsi="Poppins" w:cs="Poppins"/>
          <w:color w:val="000000"/>
          <w:sz w:val="24"/>
          <w:szCs w:val="24"/>
          <w:shd w:val="clear" w:color="auto" w:fill="FFFFFF"/>
        </w:rPr>
        <w:t>efektywność energetyczną mieszkań i domów</w:t>
      </w:r>
      <w:r w:rsidR="00F27EC9" w:rsidRPr="003252BE">
        <w:rPr>
          <w:rFonts w:ascii="Poppins" w:hAnsi="Poppins" w:cs="Poppins"/>
          <w:color w:val="000000"/>
          <w:sz w:val="24"/>
          <w:szCs w:val="24"/>
          <w:shd w:val="clear" w:color="auto" w:fill="FFFFFF"/>
        </w:rPr>
        <w:t xml:space="preserve">, </w:t>
      </w:r>
      <w:r w:rsidR="00F27EC9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>modernizację sieci energetycznych czy budowę elektrowni wiatrowych</w:t>
      </w:r>
      <w:r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. </w:t>
      </w:r>
      <w:r w:rsidR="00F27EC9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 </w:t>
      </w:r>
    </w:p>
    <w:p w14:paraId="71E5347B" w14:textId="77777777" w:rsidR="00020E4B" w:rsidRPr="003252BE" w:rsidRDefault="00974131" w:rsidP="008E4A56">
      <w:pPr>
        <w:shd w:val="clear" w:color="auto" w:fill="FFFFFF"/>
        <w:spacing w:before="120" w:after="120" w:line="240" w:lineRule="auto"/>
        <w:rPr>
          <w:rFonts w:ascii="Poppins" w:eastAsia="Times New Roman" w:hAnsi="Poppins" w:cs="Poppins"/>
          <w:color w:val="333333"/>
          <w:sz w:val="24"/>
          <w:szCs w:val="24"/>
          <w:lang w:eastAsia="pl-PL"/>
        </w:rPr>
      </w:pPr>
      <w:r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>Ponadto w styczniu po dwumiesięcznym regresie nastąpiło dość mocne odbicie danych GUS budownictwa mieszkaniowego. Deweloperzy ruszyli z budową ponad 17 tys. lokali, co jest wynikiem znacznie lepszym zarówno w relacji rok do roku jak i miesiąc do miesiąca. Jeszcze w niedalekiej przeszłości to właśnie wyniki budownictwa mieszkaniowego</w:t>
      </w:r>
      <w:r w:rsidR="007D0D32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 decydowały w głównym zakresie o koniunkturze na krajowym rynku materiałów budowlanych. Wynik styczniowy rozpoczętych budów deweloperskich może oznaczać, że </w:t>
      </w:r>
      <w:r w:rsidR="00020E4B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>deweloperzy</w:t>
      </w:r>
      <w:r w:rsidR="007D0D32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 pomimo przejściowej nadpodaży nie zamierza</w:t>
      </w:r>
      <w:r w:rsidR="00020E4B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>ją</w:t>
      </w:r>
      <w:r w:rsidR="007D0D32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 ograniczać nowych inwestycji, niezależnie od  niekorzystnej </w:t>
      </w:r>
      <w:r w:rsidR="00020E4B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dla nich </w:t>
      </w:r>
      <w:r w:rsidR="007D0D32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decyzji </w:t>
      </w:r>
      <w:r w:rsidR="00020E4B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resortu rozwoju dotyczącej programu „Pierwsze klucze”. </w:t>
      </w:r>
    </w:p>
    <w:p w14:paraId="59A1FC9C" w14:textId="5C40681D" w:rsidR="00974131" w:rsidRPr="003252BE" w:rsidRDefault="00020E4B" w:rsidP="008E4A56">
      <w:pPr>
        <w:shd w:val="clear" w:color="auto" w:fill="FFFFFF"/>
        <w:spacing w:before="120" w:after="120" w:line="240" w:lineRule="auto"/>
        <w:rPr>
          <w:rFonts w:ascii="Poppins" w:eastAsia="Times New Roman" w:hAnsi="Poppins" w:cs="Poppins"/>
          <w:color w:val="333333"/>
          <w:sz w:val="24"/>
          <w:szCs w:val="24"/>
          <w:lang w:eastAsia="pl-PL"/>
        </w:rPr>
      </w:pPr>
      <w:r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Co więcej, na popyt a więc i ceny materiałów budowlanych już w przewidywalnej przyszłości niebagatelny wpływ mogą zacząć wywierać zadeklarowane przez rząd środki na budownictwo komunalne i społeczne, które od 2025 r. mają co roku wynosić 2,5 mld zł. W tej sytuacji mieszkaniówka już od bieżącego roku może stać się ponownie </w:t>
      </w:r>
      <w:r w:rsidR="004A7DB1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czynnikiem </w:t>
      </w:r>
      <w:r w:rsidR="00281559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>ponadprzeciętnie</w:t>
      </w:r>
      <w:r w:rsidR="004A7DB1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 stymulującym</w:t>
      </w:r>
      <w:r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 koniunktur</w:t>
      </w:r>
      <w:r w:rsidR="004A7DB1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>ę</w:t>
      </w:r>
      <w:r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 na krajowym rynku materiałów budowlanych.</w:t>
      </w:r>
      <w:r w:rsidR="00974131" w:rsidRPr="003252BE">
        <w:rPr>
          <w:rFonts w:ascii="Poppins" w:eastAsia="Times New Roman" w:hAnsi="Poppins" w:cs="Poppins"/>
          <w:color w:val="333333"/>
          <w:sz w:val="24"/>
          <w:szCs w:val="24"/>
          <w:lang w:eastAsia="pl-PL"/>
        </w:rPr>
        <w:t xml:space="preserve">  </w:t>
      </w:r>
    </w:p>
    <w:sectPr w:rsidR="00974131" w:rsidRPr="003252BE" w:rsidSect="00826ED1">
      <w:headerReference w:type="default" r:id="rId9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4CF7B" w14:textId="77777777" w:rsidR="005B6F47" w:rsidRDefault="005B6F47" w:rsidP="00E533BD">
      <w:pPr>
        <w:spacing w:after="0" w:line="240" w:lineRule="auto"/>
      </w:pPr>
      <w:r>
        <w:separator/>
      </w:r>
    </w:p>
  </w:endnote>
  <w:endnote w:type="continuationSeparator" w:id="0">
    <w:p w14:paraId="60D34F12" w14:textId="77777777" w:rsidR="005B6F47" w:rsidRDefault="005B6F47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12762" w14:textId="77777777" w:rsidR="005B6F47" w:rsidRDefault="005B6F47" w:rsidP="00E533BD">
      <w:pPr>
        <w:spacing w:after="0" w:line="240" w:lineRule="auto"/>
      </w:pPr>
      <w:r>
        <w:separator/>
      </w:r>
    </w:p>
  </w:footnote>
  <w:footnote w:type="continuationSeparator" w:id="0">
    <w:p w14:paraId="42B7A11A" w14:textId="77777777" w:rsidR="005B6F47" w:rsidRDefault="005B6F47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15CD9"/>
    <w:multiLevelType w:val="multilevel"/>
    <w:tmpl w:val="9B2C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2663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07FBB"/>
    <w:rsid w:val="00013003"/>
    <w:rsid w:val="000153EF"/>
    <w:rsid w:val="00020E4B"/>
    <w:rsid w:val="000210DD"/>
    <w:rsid w:val="000254C5"/>
    <w:rsid w:val="0003213A"/>
    <w:rsid w:val="000326BA"/>
    <w:rsid w:val="00034C97"/>
    <w:rsid w:val="00035801"/>
    <w:rsid w:val="0004367A"/>
    <w:rsid w:val="00054865"/>
    <w:rsid w:val="00064175"/>
    <w:rsid w:val="00065DA5"/>
    <w:rsid w:val="00066CFD"/>
    <w:rsid w:val="00073CF3"/>
    <w:rsid w:val="000926D2"/>
    <w:rsid w:val="000953A1"/>
    <w:rsid w:val="000A1032"/>
    <w:rsid w:val="000B62CD"/>
    <w:rsid w:val="000B6F73"/>
    <w:rsid w:val="000C5788"/>
    <w:rsid w:val="000D0B8A"/>
    <w:rsid w:val="000D28E2"/>
    <w:rsid w:val="000D605D"/>
    <w:rsid w:val="000E16BB"/>
    <w:rsid w:val="000F0B92"/>
    <w:rsid w:val="00106C6C"/>
    <w:rsid w:val="00107819"/>
    <w:rsid w:val="00114763"/>
    <w:rsid w:val="001212C3"/>
    <w:rsid w:val="001213D0"/>
    <w:rsid w:val="00127399"/>
    <w:rsid w:val="00135E4C"/>
    <w:rsid w:val="00146A9A"/>
    <w:rsid w:val="00147F23"/>
    <w:rsid w:val="00151208"/>
    <w:rsid w:val="00156A7F"/>
    <w:rsid w:val="00160B3C"/>
    <w:rsid w:val="00160B41"/>
    <w:rsid w:val="00176DE5"/>
    <w:rsid w:val="00180083"/>
    <w:rsid w:val="00180781"/>
    <w:rsid w:val="001826EF"/>
    <w:rsid w:val="00182A25"/>
    <w:rsid w:val="0018306C"/>
    <w:rsid w:val="001858E8"/>
    <w:rsid w:val="00193531"/>
    <w:rsid w:val="001A22D2"/>
    <w:rsid w:val="001A3C71"/>
    <w:rsid w:val="001A58E5"/>
    <w:rsid w:val="001B16B5"/>
    <w:rsid w:val="001B4273"/>
    <w:rsid w:val="001B787B"/>
    <w:rsid w:val="001C12F6"/>
    <w:rsid w:val="001D2EBE"/>
    <w:rsid w:val="001D3D80"/>
    <w:rsid w:val="001E7914"/>
    <w:rsid w:val="001F2B70"/>
    <w:rsid w:val="001F448D"/>
    <w:rsid w:val="001F4992"/>
    <w:rsid w:val="002005AF"/>
    <w:rsid w:val="00210125"/>
    <w:rsid w:val="00211489"/>
    <w:rsid w:val="00216715"/>
    <w:rsid w:val="00217901"/>
    <w:rsid w:val="00223FBE"/>
    <w:rsid w:val="00231050"/>
    <w:rsid w:val="0023341B"/>
    <w:rsid w:val="00241465"/>
    <w:rsid w:val="00246E31"/>
    <w:rsid w:val="0025652B"/>
    <w:rsid w:val="00260A88"/>
    <w:rsid w:val="002636ED"/>
    <w:rsid w:val="002746E9"/>
    <w:rsid w:val="002751A0"/>
    <w:rsid w:val="00281559"/>
    <w:rsid w:val="00290568"/>
    <w:rsid w:val="00293F01"/>
    <w:rsid w:val="002952CD"/>
    <w:rsid w:val="00297C06"/>
    <w:rsid w:val="002A2D5B"/>
    <w:rsid w:val="002A3E01"/>
    <w:rsid w:val="002B3C10"/>
    <w:rsid w:val="002B6E76"/>
    <w:rsid w:val="002C3A0A"/>
    <w:rsid w:val="002D0254"/>
    <w:rsid w:val="002D199A"/>
    <w:rsid w:val="002E6753"/>
    <w:rsid w:val="002F4B98"/>
    <w:rsid w:val="002F5F8B"/>
    <w:rsid w:val="003010C6"/>
    <w:rsid w:val="003155EC"/>
    <w:rsid w:val="003200F7"/>
    <w:rsid w:val="003211EF"/>
    <w:rsid w:val="003252BE"/>
    <w:rsid w:val="003273E4"/>
    <w:rsid w:val="0034597C"/>
    <w:rsid w:val="00360D0C"/>
    <w:rsid w:val="003745A3"/>
    <w:rsid w:val="00383F62"/>
    <w:rsid w:val="003860E2"/>
    <w:rsid w:val="00393BB1"/>
    <w:rsid w:val="00397DB2"/>
    <w:rsid w:val="003A2123"/>
    <w:rsid w:val="003A2150"/>
    <w:rsid w:val="003A4611"/>
    <w:rsid w:val="003A6B16"/>
    <w:rsid w:val="003B0F53"/>
    <w:rsid w:val="003B1FEC"/>
    <w:rsid w:val="003B4018"/>
    <w:rsid w:val="003B4AB4"/>
    <w:rsid w:val="003C0277"/>
    <w:rsid w:val="003C074C"/>
    <w:rsid w:val="003C6A80"/>
    <w:rsid w:val="003D121A"/>
    <w:rsid w:val="003E1930"/>
    <w:rsid w:val="003E2714"/>
    <w:rsid w:val="003E3A4C"/>
    <w:rsid w:val="003F179A"/>
    <w:rsid w:val="003F27C1"/>
    <w:rsid w:val="003F68DF"/>
    <w:rsid w:val="00400EE4"/>
    <w:rsid w:val="004010E0"/>
    <w:rsid w:val="004034AD"/>
    <w:rsid w:val="004035DD"/>
    <w:rsid w:val="00406379"/>
    <w:rsid w:val="00412A2E"/>
    <w:rsid w:val="0043352D"/>
    <w:rsid w:val="00447594"/>
    <w:rsid w:val="00450887"/>
    <w:rsid w:val="00453264"/>
    <w:rsid w:val="00457B6D"/>
    <w:rsid w:val="004712D3"/>
    <w:rsid w:val="004751D2"/>
    <w:rsid w:val="00482300"/>
    <w:rsid w:val="00483013"/>
    <w:rsid w:val="00485EF7"/>
    <w:rsid w:val="004938C7"/>
    <w:rsid w:val="004A26F7"/>
    <w:rsid w:val="004A4F35"/>
    <w:rsid w:val="004A7DB1"/>
    <w:rsid w:val="004B0A9B"/>
    <w:rsid w:val="004C3923"/>
    <w:rsid w:val="004C5BCA"/>
    <w:rsid w:val="004C5DF9"/>
    <w:rsid w:val="004C6508"/>
    <w:rsid w:val="004D0DC8"/>
    <w:rsid w:val="004D3327"/>
    <w:rsid w:val="004E0A56"/>
    <w:rsid w:val="004E387D"/>
    <w:rsid w:val="004F3B39"/>
    <w:rsid w:val="004F40A4"/>
    <w:rsid w:val="0050558D"/>
    <w:rsid w:val="00507653"/>
    <w:rsid w:val="00507867"/>
    <w:rsid w:val="005106EB"/>
    <w:rsid w:val="00547770"/>
    <w:rsid w:val="0056572D"/>
    <w:rsid w:val="00565B3F"/>
    <w:rsid w:val="0056737A"/>
    <w:rsid w:val="00570F57"/>
    <w:rsid w:val="00575491"/>
    <w:rsid w:val="005756AC"/>
    <w:rsid w:val="00581DC2"/>
    <w:rsid w:val="00582830"/>
    <w:rsid w:val="00582E44"/>
    <w:rsid w:val="00584A29"/>
    <w:rsid w:val="00584FB3"/>
    <w:rsid w:val="00591184"/>
    <w:rsid w:val="00595F9B"/>
    <w:rsid w:val="0059626C"/>
    <w:rsid w:val="005A775E"/>
    <w:rsid w:val="005B3C91"/>
    <w:rsid w:val="005B6F47"/>
    <w:rsid w:val="005C54A7"/>
    <w:rsid w:val="005C5B38"/>
    <w:rsid w:val="005E154B"/>
    <w:rsid w:val="005E7D13"/>
    <w:rsid w:val="005F08EB"/>
    <w:rsid w:val="00607533"/>
    <w:rsid w:val="006170B5"/>
    <w:rsid w:val="0061777E"/>
    <w:rsid w:val="00627384"/>
    <w:rsid w:val="00631ADB"/>
    <w:rsid w:val="00633C9A"/>
    <w:rsid w:val="00642218"/>
    <w:rsid w:val="00642BDC"/>
    <w:rsid w:val="006472EC"/>
    <w:rsid w:val="0066099C"/>
    <w:rsid w:val="00660B67"/>
    <w:rsid w:val="0066231E"/>
    <w:rsid w:val="006637AD"/>
    <w:rsid w:val="00664F2D"/>
    <w:rsid w:val="0067285F"/>
    <w:rsid w:val="006816E6"/>
    <w:rsid w:val="00686BD3"/>
    <w:rsid w:val="00693D0A"/>
    <w:rsid w:val="006973C9"/>
    <w:rsid w:val="00697DF3"/>
    <w:rsid w:val="00697F5E"/>
    <w:rsid w:val="006A2B5F"/>
    <w:rsid w:val="006A60E1"/>
    <w:rsid w:val="006A7412"/>
    <w:rsid w:val="006B1071"/>
    <w:rsid w:val="006B3346"/>
    <w:rsid w:val="006B5B10"/>
    <w:rsid w:val="006C27C0"/>
    <w:rsid w:val="006D5506"/>
    <w:rsid w:val="006D76FB"/>
    <w:rsid w:val="006D7A4B"/>
    <w:rsid w:val="006D7E81"/>
    <w:rsid w:val="006D7F31"/>
    <w:rsid w:val="006E0F7F"/>
    <w:rsid w:val="006E189E"/>
    <w:rsid w:val="006F1831"/>
    <w:rsid w:val="00703DF1"/>
    <w:rsid w:val="00713F38"/>
    <w:rsid w:val="00726925"/>
    <w:rsid w:val="00734D2E"/>
    <w:rsid w:val="007359D6"/>
    <w:rsid w:val="007430AD"/>
    <w:rsid w:val="00745E97"/>
    <w:rsid w:val="0075484E"/>
    <w:rsid w:val="00760621"/>
    <w:rsid w:val="00764495"/>
    <w:rsid w:val="00775FF2"/>
    <w:rsid w:val="00776C44"/>
    <w:rsid w:val="007819F8"/>
    <w:rsid w:val="00781FF7"/>
    <w:rsid w:val="0079392D"/>
    <w:rsid w:val="007B0704"/>
    <w:rsid w:val="007B5076"/>
    <w:rsid w:val="007B6E3C"/>
    <w:rsid w:val="007C3755"/>
    <w:rsid w:val="007C3885"/>
    <w:rsid w:val="007D078D"/>
    <w:rsid w:val="007D0D32"/>
    <w:rsid w:val="007D3F9A"/>
    <w:rsid w:val="007D6C4B"/>
    <w:rsid w:val="007E3CBA"/>
    <w:rsid w:val="007F63C7"/>
    <w:rsid w:val="007F6475"/>
    <w:rsid w:val="00806F6A"/>
    <w:rsid w:val="00807D30"/>
    <w:rsid w:val="00820ECF"/>
    <w:rsid w:val="00825AD9"/>
    <w:rsid w:val="00826ED1"/>
    <w:rsid w:val="00835381"/>
    <w:rsid w:val="008358CD"/>
    <w:rsid w:val="008374B1"/>
    <w:rsid w:val="00854F15"/>
    <w:rsid w:val="00856F06"/>
    <w:rsid w:val="00862CF6"/>
    <w:rsid w:val="00862F55"/>
    <w:rsid w:val="00863505"/>
    <w:rsid w:val="00863FFD"/>
    <w:rsid w:val="00864C0F"/>
    <w:rsid w:val="008664C0"/>
    <w:rsid w:val="0088431F"/>
    <w:rsid w:val="00884A9A"/>
    <w:rsid w:val="00887C3A"/>
    <w:rsid w:val="00890441"/>
    <w:rsid w:val="00895121"/>
    <w:rsid w:val="008A0C71"/>
    <w:rsid w:val="008A179F"/>
    <w:rsid w:val="008B2FDB"/>
    <w:rsid w:val="008B54EA"/>
    <w:rsid w:val="008C55BD"/>
    <w:rsid w:val="008C722D"/>
    <w:rsid w:val="008E1961"/>
    <w:rsid w:val="008E3697"/>
    <w:rsid w:val="008E393C"/>
    <w:rsid w:val="008E4A56"/>
    <w:rsid w:val="008E58FA"/>
    <w:rsid w:val="008E6612"/>
    <w:rsid w:val="008F6A9F"/>
    <w:rsid w:val="008F6E50"/>
    <w:rsid w:val="008F7B1C"/>
    <w:rsid w:val="0091278B"/>
    <w:rsid w:val="009202F3"/>
    <w:rsid w:val="00933A8B"/>
    <w:rsid w:val="00944148"/>
    <w:rsid w:val="0094632E"/>
    <w:rsid w:val="0096347B"/>
    <w:rsid w:val="00964F60"/>
    <w:rsid w:val="0097357B"/>
    <w:rsid w:val="00974131"/>
    <w:rsid w:val="00983F0B"/>
    <w:rsid w:val="00991681"/>
    <w:rsid w:val="009A0F60"/>
    <w:rsid w:val="009A324B"/>
    <w:rsid w:val="009B31DE"/>
    <w:rsid w:val="009B6432"/>
    <w:rsid w:val="009C38AC"/>
    <w:rsid w:val="009C548C"/>
    <w:rsid w:val="009E2F93"/>
    <w:rsid w:val="009F5C19"/>
    <w:rsid w:val="00A056E8"/>
    <w:rsid w:val="00A136B2"/>
    <w:rsid w:val="00A32185"/>
    <w:rsid w:val="00A3490C"/>
    <w:rsid w:val="00A366EE"/>
    <w:rsid w:val="00A5038A"/>
    <w:rsid w:val="00A64833"/>
    <w:rsid w:val="00A64C43"/>
    <w:rsid w:val="00A708C0"/>
    <w:rsid w:val="00A70BF4"/>
    <w:rsid w:val="00A87236"/>
    <w:rsid w:val="00A90FB0"/>
    <w:rsid w:val="00A92BFD"/>
    <w:rsid w:val="00A92EC0"/>
    <w:rsid w:val="00A95C3F"/>
    <w:rsid w:val="00A95D8F"/>
    <w:rsid w:val="00A971EE"/>
    <w:rsid w:val="00AA608F"/>
    <w:rsid w:val="00AB1865"/>
    <w:rsid w:val="00AB273A"/>
    <w:rsid w:val="00AB4159"/>
    <w:rsid w:val="00AB41B4"/>
    <w:rsid w:val="00AB61EC"/>
    <w:rsid w:val="00AB76EE"/>
    <w:rsid w:val="00AC2140"/>
    <w:rsid w:val="00AD4302"/>
    <w:rsid w:val="00AD55A3"/>
    <w:rsid w:val="00AD61BE"/>
    <w:rsid w:val="00AE0AEC"/>
    <w:rsid w:val="00AE2A4E"/>
    <w:rsid w:val="00AE5726"/>
    <w:rsid w:val="00AF17C9"/>
    <w:rsid w:val="00B01A5D"/>
    <w:rsid w:val="00B031BC"/>
    <w:rsid w:val="00B12448"/>
    <w:rsid w:val="00B17444"/>
    <w:rsid w:val="00B17DAD"/>
    <w:rsid w:val="00B23FBA"/>
    <w:rsid w:val="00B26CF0"/>
    <w:rsid w:val="00B33F85"/>
    <w:rsid w:val="00B34D3D"/>
    <w:rsid w:val="00B402C6"/>
    <w:rsid w:val="00B44782"/>
    <w:rsid w:val="00B46966"/>
    <w:rsid w:val="00B50836"/>
    <w:rsid w:val="00B53571"/>
    <w:rsid w:val="00B55ADB"/>
    <w:rsid w:val="00B56EEC"/>
    <w:rsid w:val="00B57F03"/>
    <w:rsid w:val="00B90088"/>
    <w:rsid w:val="00B94912"/>
    <w:rsid w:val="00B94D71"/>
    <w:rsid w:val="00BA4434"/>
    <w:rsid w:val="00BB29FF"/>
    <w:rsid w:val="00BB76F9"/>
    <w:rsid w:val="00BC4CD7"/>
    <w:rsid w:val="00BC611B"/>
    <w:rsid w:val="00BD0DB8"/>
    <w:rsid w:val="00BD1F6A"/>
    <w:rsid w:val="00BE0F7D"/>
    <w:rsid w:val="00BE11C3"/>
    <w:rsid w:val="00BE239E"/>
    <w:rsid w:val="00BE24E8"/>
    <w:rsid w:val="00BF2F46"/>
    <w:rsid w:val="00BF38F4"/>
    <w:rsid w:val="00C0583C"/>
    <w:rsid w:val="00C12248"/>
    <w:rsid w:val="00C13289"/>
    <w:rsid w:val="00C17C79"/>
    <w:rsid w:val="00C322FE"/>
    <w:rsid w:val="00C32CEE"/>
    <w:rsid w:val="00C32D96"/>
    <w:rsid w:val="00C35B7E"/>
    <w:rsid w:val="00C40B2C"/>
    <w:rsid w:val="00C4530E"/>
    <w:rsid w:val="00C63FDD"/>
    <w:rsid w:val="00C653E7"/>
    <w:rsid w:val="00C65D3F"/>
    <w:rsid w:val="00C70187"/>
    <w:rsid w:val="00CA0CD2"/>
    <w:rsid w:val="00CA0F06"/>
    <w:rsid w:val="00CA6E04"/>
    <w:rsid w:val="00CB10E5"/>
    <w:rsid w:val="00CB41B1"/>
    <w:rsid w:val="00CB5D59"/>
    <w:rsid w:val="00CC0120"/>
    <w:rsid w:val="00CC052B"/>
    <w:rsid w:val="00CD008A"/>
    <w:rsid w:val="00CD62EA"/>
    <w:rsid w:val="00CD69DB"/>
    <w:rsid w:val="00CD7441"/>
    <w:rsid w:val="00CE2513"/>
    <w:rsid w:val="00CF036B"/>
    <w:rsid w:val="00CF3385"/>
    <w:rsid w:val="00D01EB4"/>
    <w:rsid w:val="00D05647"/>
    <w:rsid w:val="00D057B5"/>
    <w:rsid w:val="00D16C7D"/>
    <w:rsid w:val="00D21D96"/>
    <w:rsid w:val="00D226CB"/>
    <w:rsid w:val="00D320B2"/>
    <w:rsid w:val="00D327FC"/>
    <w:rsid w:val="00D40BBA"/>
    <w:rsid w:val="00D4634E"/>
    <w:rsid w:val="00D46C50"/>
    <w:rsid w:val="00D54E7B"/>
    <w:rsid w:val="00D606A5"/>
    <w:rsid w:val="00D61549"/>
    <w:rsid w:val="00D77934"/>
    <w:rsid w:val="00DA106A"/>
    <w:rsid w:val="00DA4309"/>
    <w:rsid w:val="00DA5FA1"/>
    <w:rsid w:val="00DA7D8F"/>
    <w:rsid w:val="00DB06EF"/>
    <w:rsid w:val="00DB1B89"/>
    <w:rsid w:val="00DB3B0B"/>
    <w:rsid w:val="00DB55E5"/>
    <w:rsid w:val="00DB74E3"/>
    <w:rsid w:val="00DC1870"/>
    <w:rsid w:val="00DC20C8"/>
    <w:rsid w:val="00DC5D3E"/>
    <w:rsid w:val="00DD0798"/>
    <w:rsid w:val="00DD6A44"/>
    <w:rsid w:val="00DE3B6A"/>
    <w:rsid w:val="00DF1112"/>
    <w:rsid w:val="00DF2D78"/>
    <w:rsid w:val="00E1127B"/>
    <w:rsid w:val="00E14855"/>
    <w:rsid w:val="00E156D5"/>
    <w:rsid w:val="00E24D74"/>
    <w:rsid w:val="00E25AAC"/>
    <w:rsid w:val="00E32F03"/>
    <w:rsid w:val="00E368D9"/>
    <w:rsid w:val="00E44DB9"/>
    <w:rsid w:val="00E533BD"/>
    <w:rsid w:val="00E535F7"/>
    <w:rsid w:val="00E573CD"/>
    <w:rsid w:val="00E61B22"/>
    <w:rsid w:val="00E6343F"/>
    <w:rsid w:val="00E66358"/>
    <w:rsid w:val="00E9236B"/>
    <w:rsid w:val="00E92585"/>
    <w:rsid w:val="00E957F0"/>
    <w:rsid w:val="00EA1149"/>
    <w:rsid w:val="00EA269B"/>
    <w:rsid w:val="00EA7CFC"/>
    <w:rsid w:val="00EB6336"/>
    <w:rsid w:val="00ED61B2"/>
    <w:rsid w:val="00ED6DEA"/>
    <w:rsid w:val="00EE38DB"/>
    <w:rsid w:val="00EE42EC"/>
    <w:rsid w:val="00F11A8D"/>
    <w:rsid w:val="00F15BA8"/>
    <w:rsid w:val="00F22872"/>
    <w:rsid w:val="00F2311C"/>
    <w:rsid w:val="00F27EC9"/>
    <w:rsid w:val="00F37E9C"/>
    <w:rsid w:val="00F40A2D"/>
    <w:rsid w:val="00F41D76"/>
    <w:rsid w:val="00F56319"/>
    <w:rsid w:val="00F5726C"/>
    <w:rsid w:val="00F677E7"/>
    <w:rsid w:val="00F745FF"/>
    <w:rsid w:val="00F76DCA"/>
    <w:rsid w:val="00F81375"/>
    <w:rsid w:val="00F8692D"/>
    <w:rsid w:val="00F91A47"/>
    <w:rsid w:val="00F92EA7"/>
    <w:rsid w:val="00F95A4D"/>
    <w:rsid w:val="00FA42CC"/>
    <w:rsid w:val="00FA46EB"/>
    <w:rsid w:val="00FA757E"/>
    <w:rsid w:val="00FB2B63"/>
    <w:rsid w:val="00FB7A20"/>
    <w:rsid w:val="00FC1FAD"/>
    <w:rsid w:val="00FC7E43"/>
    <w:rsid w:val="00FD6485"/>
    <w:rsid w:val="00FE0C76"/>
    <w:rsid w:val="00FF0584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character" w:customStyle="1" w:styleId="ohlcspan">
    <w:name w:val="ohlc_span"/>
    <w:basedOn w:val="Domylnaczcionkaakapitu"/>
    <w:rsid w:val="00DB1B89"/>
  </w:style>
  <w:style w:type="character" w:styleId="Pogrubienie">
    <w:name w:val="Strong"/>
    <w:basedOn w:val="Domylnaczcionkaakapitu"/>
    <w:uiPriority w:val="22"/>
    <w:qFormat/>
    <w:rsid w:val="001A58E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A58E5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B01A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01A5D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Marlena Rzepniewska</cp:lastModifiedBy>
  <cp:revision>5</cp:revision>
  <cp:lastPrinted>2022-08-09T11:51:00Z</cp:lastPrinted>
  <dcterms:created xsi:type="dcterms:W3CDTF">2025-02-27T11:31:00Z</dcterms:created>
  <dcterms:modified xsi:type="dcterms:W3CDTF">2025-02-28T11:32:00Z</dcterms:modified>
</cp:coreProperties>
</file>