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E53E1D" w14:textId="0C52FDA0" w:rsidR="009A4E0F" w:rsidRDefault="00000000">
      <w:pPr>
        <w:pStyle w:val="normal1"/>
        <w:spacing w:after="160" w:line="259" w:lineRule="auto"/>
        <w:jc w:val="right"/>
        <w:rPr>
          <w:rFonts w:ascii="Poppins" w:eastAsia="Poppins" w:hAnsi="Poppins" w:cs="Poppins"/>
          <w:color w:val="000000"/>
          <w:sz w:val="24"/>
          <w:szCs w:val="24"/>
        </w:rPr>
      </w:pPr>
      <w:r>
        <w:rPr>
          <w:rFonts w:ascii="Poppins" w:eastAsia="Poppins" w:hAnsi="Poppins" w:cs="Poppins"/>
          <w:color w:val="000000"/>
        </w:rPr>
        <w:t xml:space="preserve">Warszawa, </w:t>
      </w:r>
      <w:r>
        <w:rPr>
          <w:rFonts w:ascii="Poppins" w:eastAsia="Poppins" w:hAnsi="Poppins" w:cs="Poppins"/>
        </w:rPr>
        <w:t>0</w:t>
      </w:r>
      <w:r w:rsidR="00A9400B">
        <w:rPr>
          <w:rFonts w:ascii="Poppins" w:eastAsia="Poppins" w:hAnsi="Poppins" w:cs="Poppins"/>
        </w:rPr>
        <w:t>4</w:t>
      </w:r>
      <w:r>
        <w:rPr>
          <w:rFonts w:ascii="Poppins" w:eastAsia="Poppins" w:hAnsi="Poppins" w:cs="Poppins"/>
          <w:color w:val="000000"/>
        </w:rPr>
        <w:t>.0</w:t>
      </w:r>
      <w:r>
        <w:rPr>
          <w:rFonts w:ascii="Poppins" w:eastAsia="Poppins" w:hAnsi="Poppins" w:cs="Poppins"/>
        </w:rPr>
        <w:t>4</w:t>
      </w:r>
      <w:r>
        <w:rPr>
          <w:rFonts w:ascii="Poppins" w:eastAsia="Poppins" w:hAnsi="Poppins" w:cs="Poppins"/>
          <w:color w:val="000000"/>
        </w:rPr>
        <w:t>.2025 r.</w:t>
      </w:r>
    </w:p>
    <w:p w14:paraId="3F8CC44A" w14:textId="77777777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36"/>
          <w:szCs w:val="36"/>
        </w:rPr>
      </w:pPr>
      <w:r w:rsidRPr="003F2A4F">
        <w:rPr>
          <w:rFonts w:ascii="Poppins" w:eastAsia="Poppins" w:hAnsi="Poppins" w:cs="Poppins"/>
          <w:b/>
          <w:sz w:val="36"/>
          <w:szCs w:val="36"/>
        </w:rPr>
        <w:t>Zmienny apetyt na kredyty. Czy 2025 rok ożywi rynek hipoteczny?</w:t>
      </w:r>
    </w:p>
    <w:p w14:paraId="165317FD" w14:textId="77777777" w:rsidR="009A4E0F" w:rsidRDefault="009A4E0F">
      <w:pPr>
        <w:pStyle w:val="normal1"/>
        <w:jc w:val="both"/>
        <w:rPr>
          <w:rFonts w:ascii="Poppins" w:eastAsia="Poppins" w:hAnsi="Poppins" w:cs="Poppins"/>
          <w:b/>
          <w:sz w:val="24"/>
          <w:szCs w:val="24"/>
        </w:rPr>
      </w:pPr>
    </w:p>
    <w:p w14:paraId="0CCBF4DE" w14:textId="77777777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iCs/>
          <w:sz w:val="22"/>
          <w:szCs w:val="22"/>
        </w:rPr>
      </w:pPr>
      <w:r w:rsidRPr="003F2A4F">
        <w:rPr>
          <w:rFonts w:ascii="Poppins" w:eastAsia="Poppins" w:hAnsi="Poppins" w:cs="Poppins"/>
          <w:b/>
          <w:iCs/>
          <w:sz w:val="22"/>
          <w:szCs w:val="22"/>
        </w:rPr>
        <w:t>Najpierw BIK ogłosił, że wartość wnioskowanych kredytów hipotecznych wzrosła w lutym o 37% rok do roku, teraz optymizm budzą nieoficjalne sygnały z banków za marzec. Trzeba jednak pamiętać, że odniesieniem są bardzo niskie wyniki z przeszłości. Sprawdzamy, jak od 2020 r. zmieniały się wskaźniki akcji kredytowej, jakie czynniki wpływały na jej dynamikę i jak rysują się prognozy na przyszłość. Czy budząca się wiosna obudzi też rynek kredytów mieszkaniowych?</w:t>
      </w:r>
    </w:p>
    <w:p w14:paraId="077DA5B8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sz w:val="22"/>
          <w:szCs w:val="22"/>
        </w:rPr>
      </w:pPr>
    </w:p>
    <w:p w14:paraId="7A4B38BD" w14:textId="24566772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b/>
          <w:sz w:val="22"/>
          <w:szCs w:val="22"/>
        </w:rPr>
        <w:t>Wartość wniosków kredytowych o 37% w górę</w:t>
      </w:r>
      <w:r w:rsidR="003F2A4F">
        <w:rPr>
          <w:rFonts w:ascii="Poppins" w:eastAsia="Poppins" w:hAnsi="Poppins" w:cs="Poppins"/>
          <w:b/>
          <w:sz w:val="22"/>
          <w:szCs w:val="22"/>
        </w:rPr>
        <w:t xml:space="preserve"> - </w:t>
      </w:r>
      <w:r w:rsidRPr="003F2A4F">
        <w:rPr>
          <w:rFonts w:ascii="Poppins" w:eastAsia="Poppins" w:hAnsi="Poppins" w:cs="Poppins"/>
          <w:b/>
          <w:sz w:val="22"/>
          <w:szCs w:val="22"/>
        </w:rPr>
        <w:t>co to znaczy?</w:t>
      </w:r>
    </w:p>
    <w:p w14:paraId="32CCB401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72226240" w14:textId="75278A6A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sz w:val="22"/>
          <w:szCs w:val="22"/>
        </w:rPr>
        <w:t xml:space="preserve">Gdy Biuro Informacji Kredytowej ogłosiło, że wartość wnioskowanych kredytów hipotecznych w lutym 2025 r. okazała się aż o 37% wyższa niż przed rokiem, wiele osób zareagowało </w:t>
      </w:r>
      <w:r w:rsidR="00284E09" w:rsidRPr="008A37D0">
        <w:rPr>
          <w:rFonts w:ascii="Poppins" w:eastAsia="Poppins" w:hAnsi="Poppins" w:cs="Poppins"/>
          <w:sz w:val="22"/>
          <w:szCs w:val="22"/>
        </w:rPr>
        <w:t>zdziwieniem</w:t>
      </w:r>
      <w:r w:rsidRPr="008A37D0">
        <w:rPr>
          <w:rFonts w:ascii="Poppins" w:eastAsia="Poppins" w:hAnsi="Poppins" w:cs="Poppins"/>
          <w:sz w:val="22"/>
          <w:szCs w:val="22"/>
        </w:rPr>
        <w:t>.</w:t>
      </w:r>
      <w:r w:rsidRPr="003F2A4F">
        <w:rPr>
          <w:rFonts w:ascii="Poppins" w:eastAsia="Poppins" w:hAnsi="Poppins" w:cs="Poppins"/>
          <w:sz w:val="22"/>
          <w:szCs w:val="22"/>
        </w:rPr>
        <w:t xml:space="preserve"> Czy słusznie? – </w:t>
      </w:r>
      <w:r w:rsidRPr="003F2A4F">
        <w:rPr>
          <w:rFonts w:ascii="Poppins" w:eastAsia="Poppins" w:hAnsi="Poppins" w:cs="Poppins"/>
          <w:i/>
          <w:sz w:val="22"/>
          <w:szCs w:val="22"/>
        </w:rPr>
        <w:t xml:space="preserve">Dane BIK informują o lutowym wzroście wartości wnioskowanych kredytów mieszkaniowych wynoszącym 37%, ale punktem odniesienia jest luty 2024 roku, kiedy popyt na rynku był już rozładowany przez program Bezpieczny Kredyt 2%. Wspomniany program zwiększał liczbę udzielonych kredytów mieszkaniowych z całego I kwartału 2024 roku, choć w tym czasie nie można było już składać nowych wniosków o </w:t>
      </w:r>
      <w:r w:rsidRPr="00C75AB9">
        <w:rPr>
          <w:rFonts w:ascii="Poppins" w:eastAsia="Poppins" w:hAnsi="Poppins" w:cs="Poppins"/>
          <w:iCs/>
          <w:sz w:val="22"/>
          <w:szCs w:val="22"/>
        </w:rPr>
        <w:t>„</w:t>
      </w:r>
      <w:r w:rsidRPr="003F2A4F">
        <w:rPr>
          <w:rFonts w:ascii="Poppins" w:eastAsia="Poppins" w:hAnsi="Poppins" w:cs="Poppins"/>
          <w:i/>
          <w:sz w:val="22"/>
          <w:szCs w:val="22"/>
        </w:rPr>
        <w:t xml:space="preserve">hipotekę” z dopłatami </w:t>
      </w:r>
      <w:r w:rsidRPr="003F2A4F">
        <w:rPr>
          <w:rFonts w:ascii="Poppins" w:eastAsia="Poppins" w:hAnsi="Poppins" w:cs="Poppins"/>
          <w:sz w:val="22"/>
          <w:szCs w:val="22"/>
        </w:rPr>
        <w:t xml:space="preserve">– tłumaczy Andrzej Prajsnar, ekspert portalu RynekPierwotny.pl. </w:t>
      </w:r>
    </w:p>
    <w:p w14:paraId="2C2033ED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6A74DC8B" w14:textId="1618D5DC" w:rsidR="009A4E0F" w:rsidRPr="003F2A4F" w:rsidRDefault="003F2A4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>
        <w:rPr>
          <w:rFonts w:ascii="Poppins" w:eastAsia="Poppins" w:hAnsi="Poppins" w:cs="Poppins"/>
          <w:sz w:val="22"/>
          <w:szCs w:val="22"/>
        </w:rPr>
        <w:t>T</w:t>
      </w:r>
      <w:r w:rsidRPr="003F2A4F">
        <w:rPr>
          <w:rFonts w:ascii="Poppins" w:eastAsia="Poppins" w:hAnsi="Poppins" w:cs="Poppins"/>
          <w:sz w:val="22"/>
          <w:szCs w:val="22"/>
        </w:rPr>
        <w:t xml:space="preserve">o </w:t>
      </w:r>
      <w:r>
        <w:rPr>
          <w:rFonts w:ascii="Poppins" w:eastAsia="Poppins" w:hAnsi="Poppins" w:cs="Poppins"/>
          <w:sz w:val="22"/>
          <w:szCs w:val="22"/>
        </w:rPr>
        <w:t xml:space="preserve">jednak </w:t>
      </w:r>
      <w:r w:rsidRPr="003F2A4F">
        <w:rPr>
          <w:rFonts w:ascii="Poppins" w:eastAsia="Poppins" w:hAnsi="Poppins" w:cs="Poppins"/>
          <w:sz w:val="22"/>
          <w:szCs w:val="22"/>
        </w:rPr>
        <w:t xml:space="preserve">nie wszystko. – </w:t>
      </w:r>
      <w:r w:rsidRPr="003F2A4F">
        <w:rPr>
          <w:rFonts w:ascii="Poppins" w:eastAsia="Poppins" w:hAnsi="Poppins" w:cs="Poppins"/>
          <w:i/>
          <w:sz w:val="22"/>
          <w:szCs w:val="22"/>
        </w:rPr>
        <w:t>Trzeba odnotować, że roczny wzrost o 24% liczby osób wnioskujących o kredyty mieszkaniowe był mniejszy niż 37%. Znaczenie miał więc wzrost wartości przeciętnego wnioskowanego kredytu</w:t>
      </w:r>
      <w:r w:rsidRPr="003F2A4F">
        <w:rPr>
          <w:rFonts w:ascii="Poppins" w:eastAsia="Poppins" w:hAnsi="Poppins" w:cs="Poppins"/>
          <w:sz w:val="22"/>
          <w:szCs w:val="22"/>
        </w:rPr>
        <w:t xml:space="preserve"> – zaznacza analityk. A wartość wniosku w znacznej mierze wynika ze wzrostów cen nieruchomości, co obserwowaliśmy w minionych latach równolegle do potężnych wahań liczby wnioskujących. </w:t>
      </w:r>
    </w:p>
    <w:p w14:paraId="203DAB59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78E3298E" w14:textId="3B78CB2E" w:rsidR="009A4E0F" w:rsidRPr="003F2A4F" w:rsidRDefault="008A37D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>
        <w:rPr>
          <w:rFonts w:ascii="Poppins" w:eastAsia="Poppins" w:hAnsi="Poppins" w:cs="Poppins"/>
          <w:b/>
          <w:noProof/>
          <w:sz w:val="22"/>
          <w:szCs w:val="22"/>
        </w:rPr>
        <w:lastRenderedPageBreak/>
        <w:drawing>
          <wp:inline distT="0" distB="0" distL="0" distR="0" wp14:anchorId="24176CB1" wp14:editId="15DD59BC">
            <wp:extent cx="5760720" cy="3187700"/>
            <wp:effectExtent l="0" t="0" r="0" b="0"/>
            <wp:docPr id="7726073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607339" name="Obraz 77260733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1C2A2" w14:textId="77777777" w:rsidR="00C75AB9" w:rsidRDefault="00C75AB9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41818D4F" w14:textId="19922D7C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b/>
          <w:sz w:val="22"/>
          <w:szCs w:val="22"/>
        </w:rPr>
        <w:t>Kredytowa amplituda 2020-2024, czyli skąd się brały wahania na rynku</w:t>
      </w:r>
    </w:p>
    <w:p w14:paraId="2216E1AC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62DC5262" w14:textId="660F3F40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sz w:val="22"/>
          <w:szCs w:val="22"/>
        </w:rPr>
        <w:t xml:space="preserve">Liczba zapytań kredytowych od 2020 roku bardzo mocno się zmieniała.  – </w:t>
      </w:r>
      <w:r w:rsidRPr="003F2A4F">
        <w:rPr>
          <w:rFonts w:ascii="Poppins" w:eastAsia="Poppins" w:hAnsi="Poppins" w:cs="Poppins"/>
          <w:i/>
          <w:sz w:val="22"/>
          <w:szCs w:val="22"/>
        </w:rPr>
        <w:t xml:space="preserve">W dużym uproszczeniu można powiedzieć, że mieliśmy dwa okresy bardzo wyraźnego </w:t>
      </w:r>
      <w:r w:rsidRPr="00C75AB9">
        <w:rPr>
          <w:rFonts w:ascii="Poppins" w:eastAsia="Poppins" w:hAnsi="Poppins" w:cs="Poppins"/>
          <w:iCs/>
          <w:sz w:val="22"/>
          <w:szCs w:val="22"/>
        </w:rPr>
        <w:t>„</w:t>
      </w:r>
      <w:r w:rsidRPr="003F2A4F">
        <w:rPr>
          <w:rFonts w:ascii="Poppins" w:eastAsia="Poppins" w:hAnsi="Poppins" w:cs="Poppins"/>
          <w:i/>
          <w:sz w:val="22"/>
          <w:szCs w:val="22"/>
        </w:rPr>
        <w:t>zamrożenia” rynku</w:t>
      </w:r>
      <w:r w:rsidRPr="003F2A4F">
        <w:rPr>
          <w:rFonts w:ascii="Poppins" w:eastAsia="Poppins" w:hAnsi="Poppins" w:cs="Poppins"/>
          <w:sz w:val="22"/>
          <w:szCs w:val="22"/>
        </w:rPr>
        <w:t xml:space="preserve"> – </w:t>
      </w:r>
      <w:r w:rsidR="003F2A4F">
        <w:rPr>
          <w:rFonts w:ascii="Poppins" w:eastAsia="Poppins" w:hAnsi="Poppins" w:cs="Poppins"/>
          <w:sz w:val="22"/>
          <w:szCs w:val="22"/>
        </w:rPr>
        <w:t>wskazuje</w:t>
      </w:r>
      <w:r w:rsidRPr="003F2A4F">
        <w:rPr>
          <w:rFonts w:ascii="Poppins" w:eastAsia="Poppins" w:hAnsi="Poppins" w:cs="Poppins"/>
          <w:sz w:val="22"/>
          <w:szCs w:val="22"/>
        </w:rPr>
        <w:t xml:space="preserve"> </w:t>
      </w:r>
      <w:r w:rsidR="003F2A4F" w:rsidRPr="003F2A4F">
        <w:rPr>
          <w:rFonts w:ascii="Poppins" w:eastAsia="Poppins" w:hAnsi="Poppins" w:cs="Poppins"/>
          <w:sz w:val="22"/>
          <w:szCs w:val="22"/>
        </w:rPr>
        <w:t xml:space="preserve">ekspert portalu </w:t>
      </w:r>
      <w:hyperlink r:id="rId8">
        <w:r w:rsidR="003F2A4F" w:rsidRPr="003F2A4F">
          <w:rPr>
            <w:rFonts w:ascii="Poppins" w:eastAsia="Poppins" w:hAnsi="Poppins" w:cs="Poppins"/>
            <w:color w:val="1155CC"/>
            <w:sz w:val="22"/>
            <w:szCs w:val="22"/>
            <w:u w:val="single"/>
          </w:rPr>
          <w:t>RynekPierwotny.pl</w:t>
        </w:r>
      </w:hyperlink>
      <w:r w:rsidRPr="003F2A4F">
        <w:rPr>
          <w:rFonts w:ascii="Poppins" w:eastAsia="Poppins" w:hAnsi="Poppins" w:cs="Poppins"/>
          <w:sz w:val="22"/>
          <w:szCs w:val="22"/>
        </w:rPr>
        <w:t xml:space="preserve">. Pierwsze z nich, jak przypomina, wynikało z </w:t>
      </w:r>
      <w:r w:rsidR="00C75AB9" w:rsidRPr="008A37D0">
        <w:rPr>
          <w:rFonts w:ascii="Poppins" w:eastAsia="Poppins" w:hAnsi="Poppins" w:cs="Poppins"/>
          <w:sz w:val="22"/>
          <w:szCs w:val="22"/>
        </w:rPr>
        <w:t>eskalacji</w:t>
      </w:r>
      <w:r w:rsidRPr="008A37D0">
        <w:rPr>
          <w:rFonts w:ascii="Poppins" w:eastAsia="Poppins" w:hAnsi="Poppins" w:cs="Poppins"/>
          <w:sz w:val="22"/>
          <w:szCs w:val="22"/>
        </w:rPr>
        <w:t xml:space="preserve"> p</w:t>
      </w:r>
      <w:r w:rsidRPr="003F2A4F">
        <w:rPr>
          <w:rFonts w:ascii="Poppins" w:eastAsia="Poppins" w:hAnsi="Poppins" w:cs="Poppins"/>
          <w:sz w:val="22"/>
          <w:szCs w:val="22"/>
        </w:rPr>
        <w:t>andemii COVID-19 (II kw. – III kw. 2020 r.) i związanej z nią niepewności gospodarczej. Była to więc wiosna bez kredytów.</w:t>
      </w:r>
    </w:p>
    <w:p w14:paraId="39515DB5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609D823E" w14:textId="614D25C7" w:rsidR="00C75AB9" w:rsidRDefault="00000000">
      <w:pPr>
        <w:pStyle w:val="normal1"/>
        <w:jc w:val="both"/>
        <w:rPr>
          <w:rFonts w:ascii="Poppins" w:eastAsia="Poppins" w:hAnsi="Poppins" w:cs="Poppins"/>
          <w:sz w:val="22"/>
          <w:szCs w:val="22"/>
        </w:rPr>
      </w:pPr>
      <w:r w:rsidRPr="00E235FB">
        <w:rPr>
          <w:rFonts w:ascii="Poppins" w:eastAsia="Poppins" w:hAnsi="Poppins" w:cs="Poppins"/>
          <w:iCs/>
          <w:sz w:val="22"/>
          <w:szCs w:val="22"/>
        </w:rPr>
        <w:t>Z kolei rok 2021 upływał pod znakiem dużej akcji kredytowej</w:t>
      </w:r>
      <w:r w:rsidR="00E235FB" w:rsidRPr="00E235FB">
        <w:rPr>
          <w:rFonts w:ascii="Poppins" w:eastAsia="Poppins" w:hAnsi="Poppins" w:cs="Poppins"/>
          <w:iCs/>
          <w:sz w:val="22"/>
          <w:szCs w:val="22"/>
        </w:rPr>
        <w:t>.</w:t>
      </w:r>
      <w:r w:rsidR="00E235FB">
        <w:rPr>
          <w:rFonts w:ascii="Poppins" w:eastAsia="Poppins" w:hAnsi="Poppins" w:cs="Poppins"/>
          <w:i/>
          <w:sz w:val="22"/>
          <w:szCs w:val="22"/>
        </w:rPr>
        <w:t xml:space="preserve"> </w:t>
      </w:r>
      <w:r w:rsidRPr="003F2A4F">
        <w:rPr>
          <w:rFonts w:ascii="Poppins" w:eastAsia="Poppins" w:hAnsi="Poppins" w:cs="Poppins"/>
          <w:sz w:val="22"/>
          <w:szCs w:val="22"/>
        </w:rPr>
        <w:t>Nie chodziło jednak</w:t>
      </w:r>
      <w:r w:rsidR="00C75AB9">
        <w:rPr>
          <w:rFonts w:ascii="Poppins" w:eastAsia="Poppins" w:hAnsi="Poppins" w:cs="Poppins"/>
          <w:sz w:val="22"/>
          <w:szCs w:val="22"/>
        </w:rPr>
        <w:t xml:space="preserve"> </w:t>
      </w:r>
      <w:r w:rsidR="00C75AB9" w:rsidRPr="008A37D0">
        <w:rPr>
          <w:rFonts w:ascii="Poppins" w:eastAsia="Poppins" w:hAnsi="Poppins" w:cs="Poppins"/>
          <w:sz w:val="22"/>
          <w:szCs w:val="22"/>
        </w:rPr>
        <w:t>wyłącznie</w:t>
      </w:r>
      <w:r w:rsidRPr="008A37D0">
        <w:rPr>
          <w:rFonts w:ascii="Poppins" w:eastAsia="Poppins" w:hAnsi="Poppins" w:cs="Poppins"/>
          <w:sz w:val="22"/>
          <w:szCs w:val="22"/>
        </w:rPr>
        <w:t xml:space="preserve"> o</w:t>
      </w:r>
      <w:r w:rsidRPr="003F2A4F">
        <w:rPr>
          <w:rFonts w:ascii="Poppins" w:eastAsia="Poppins" w:hAnsi="Poppins" w:cs="Poppins"/>
          <w:sz w:val="22"/>
          <w:szCs w:val="22"/>
        </w:rPr>
        <w:t xml:space="preserve"> wzrost liczby zainteresowanych zakupem mieszkania</w:t>
      </w:r>
      <w:r w:rsidR="00C75AB9">
        <w:rPr>
          <w:rFonts w:ascii="Poppins" w:eastAsia="Poppins" w:hAnsi="Poppins" w:cs="Poppins"/>
          <w:sz w:val="22"/>
          <w:szCs w:val="22"/>
        </w:rPr>
        <w:t xml:space="preserve"> </w:t>
      </w:r>
      <w:r w:rsidR="00C75AB9" w:rsidRPr="008A37D0">
        <w:rPr>
          <w:rFonts w:ascii="Poppins" w:eastAsia="Poppins" w:hAnsi="Poppins" w:cs="Poppins"/>
          <w:sz w:val="22"/>
          <w:szCs w:val="22"/>
        </w:rPr>
        <w:t xml:space="preserve">i popyt przesunięty </w:t>
      </w:r>
      <w:r w:rsidR="00A3763E" w:rsidRPr="008A37D0">
        <w:rPr>
          <w:rFonts w:ascii="Poppins" w:eastAsia="Poppins" w:hAnsi="Poppins" w:cs="Poppins"/>
          <w:sz w:val="22"/>
          <w:szCs w:val="22"/>
        </w:rPr>
        <w:t xml:space="preserve">przez początek </w:t>
      </w:r>
      <w:r w:rsidR="00C75AB9" w:rsidRPr="008A37D0">
        <w:rPr>
          <w:rFonts w:ascii="Poppins" w:eastAsia="Poppins" w:hAnsi="Poppins" w:cs="Poppins"/>
          <w:sz w:val="22"/>
          <w:szCs w:val="22"/>
        </w:rPr>
        <w:t>pandemii</w:t>
      </w:r>
      <w:r w:rsidRPr="008A37D0">
        <w:rPr>
          <w:rFonts w:ascii="Poppins" w:eastAsia="Poppins" w:hAnsi="Poppins" w:cs="Poppins"/>
          <w:sz w:val="22"/>
          <w:szCs w:val="22"/>
        </w:rPr>
        <w:t>. Pod wpływem</w:t>
      </w:r>
      <w:r w:rsidRPr="003F2A4F">
        <w:rPr>
          <w:rFonts w:ascii="Poppins" w:eastAsia="Poppins" w:hAnsi="Poppins" w:cs="Poppins"/>
          <w:sz w:val="22"/>
          <w:szCs w:val="22"/>
        </w:rPr>
        <w:t xml:space="preserve"> zapowiadanych przez Komisję Nadzoru Finansowego zmian w Rekomendacji S</w:t>
      </w:r>
      <w:r w:rsidR="00250763">
        <w:rPr>
          <w:rFonts w:ascii="Poppins" w:eastAsia="Poppins" w:hAnsi="Poppins" w:cs="Poppins"/>
          <w:sz w:val="22"/>
          <w:szCs w:val="22"/>
        </w:rPr>
        <w:t>,</w:t>
      </w:r>
      <w:r w:rsidRPr="003F2A4F">
        <w:rPr>
          <w:rFonts w:ascii="Poppins" w:eastAsia="Poppins" w:hAnsi="Poppins" w:cs="Poppins"/>
          <w:sz w:val="22"/>
          <w:szCs w:val="22"/>
        </w:rPr>
        <w:t xml:space="preserve"> zdolność </w:t>
      </w:r>
      <w:r w:rsidRPr="008A37D0">
        <w:rPr>
          <w:rFonts w:ascii="Poppins" w:eastAsia="Poppins" w:hAnsi="Poppins" w:cs="Poppins"/>
          <w:sz w:val="22"/>
          <w:szCs w:val="22"/>
        </w:rPr>
        <w:t xml:space="preserve">kredytowa wielu osób miała </w:t>
      </w:r>
      <w:r w:rsidR="0005027D" w:rsidRPr="008A37D0">
        <w:rPr>
          <w:rFonts w:ascii="Poppins" w:eastAsia="Poppins" w:hAnsi="Poppins" w:cs="Poppins"/>
          <w:sz w:val="22"/>
          <w:szCs w:val="22"/>
        </w:rPr>
        <w:t>odczuwalnie</w:t>
      </w:r>
      <w:r w:rsidRPr="008A37D0">
        <w:rPr>
          <w:rFonts w:ascii="Poppins" w:eastAsia="Poppins" w:hAnsi="Poppins" w:cs="Poppins"/>
          <w:sz w:val="22"/>
          <w:szCs w:val="22"/>
        </w:rPr>
        <w:t xml:space="preserve"> spaść, w praktyce często aż o </w:t>
      </w:r>
      <w:r w:rsidR="0005027D" w:rsidRPr="008A37D0">
        <w:rPr>
          <w:rFonts w:ascii="Poppins" w:eastAsia="Poppins" w:hAnsi="Poppins" w:cs="Poppins"/>
          <w:sz w:val="22"/>
          <w:szCs w:val="22"/>
        </w:rPr>
        <w:t>10%</w:t>
      </w:r>
      <w:r w:rsidR="005C71B4" w:rsidRPr="008A37D0">
        <w:rPr>
          <w:rFonts w:ascii="Poppins" w:eastAsia="Poppins" w:hAnsi="Poppins" w:cs="Poppins"/>
          <w:sz w:val="22"/>
          <w:szCs w:val="22"/>
        </w:rPr>
        <w:t xml:space="preserve"> - 15%</w:t>
      </w:r>
      <w:r w:rsidRPr="008A37D0">
        <w:rPr>
          <w:rFonts w:ascii="Poppins" w:eastAsia="Poppins" w:hAnsi="Poppins" w:cs="Poppins"/>
          <w:sz w:val="22"/>
          <w:szCs w:val="22"/>
        </w:rPr>
        <w:t>! Wiel</w:t>
      </w:r>
      <w:r w:rsidR="00284E09" w:rsidRPr="008A37D0">
        <w:rPr>
          <w:rFonts w:ascii="Poppins" w:eastAsia="Poppins" w:hAnsi="Poppins" w:cs="Poppins"/>
          <w:sz w:val="22"/>
          <w:szCs w:val="22"/>
        </w:rPr>
        <w:t>u</w:t>
      </w:r>
      <w:r w:rsidRPr="008A37D0">
        <w:rPr>
          <w:rFonts w:ascii="Poppins" w:eastAsia="Poppins" w:hAnsi="Poppins" w:cs="Poppins"/>
          <w:sz w:val="22"/>
          <w:szCs w:val="22"/>
        </w:rPr>
        <w:t xml:space="preserve"> </w:t>
      </w:r>
      <w:r w:rsidR="00284E09" w:rsidRPr="008A37D0">
        <w:rPr>
          <w:rFonts w:ascii="Poppins" w:eastAsia="Poppins" w:hAnsi="Poppins" w:cs="Poppins"/>
          <w:sz w:val="22"/>
          <w:szCs w:val="22"/>
        </w:rPr>
        <w:t>kredytobiorców</w:t>
      </w:r>
      <w:r w:rsidRPr="008A37D0">
        <w:rPr>
          <w:rFonts w:ascii="Poppins" w:eastAsia="Poppins" w:hAnsi="Poppins" w:cs="Poppins"/>
          <w:sz w:val="22"/>
          <w:szCs w:val="22"/>
        </w:rPr>
        <w:t xml:space="preserve"> starało się uprzedzić te zmiany, dlatego wiosną</w:t>
      </w:r>
      <w:r w:rsidRPr="003F2A4F">
        <w:rPr>
          <w:rFonts w:ascii="Poppins" w:eastAsia="Poppins" w:hAnsi="Poppins" w:cs="Poppins"/>
          <w:sz w:val="22"/>
          <w:szCs w:val="22"/>
        </w:rPr>
        <w:t xml:space="preserve"> 2021 </w:t>
      </w:r>
      <w:r w:rsidR="00250763">
        <w:rPr>
          <w:rFonts w:ascii="Poppins" w:eastAsia="Poppins" w:hAnsi="Poppins" w:cs="Poppins"/>
          <w:sz w:val="22"/>
          <w:szCs w:val="22"/>
        </w:rPr>
        <w:t xml:space="preserve">r. </w:t>
      </w:r>
      <w:r w:rsidRPr="003F2A4F">
        <w:rPr>
          <w:rFonts w:ascii="Poppins" w:eastAsia="Poppins" w:hAnsi="Poppins" w:cs="Poppins"/>
          <w:sz w:val="22"/>
          <w:szCs w:val="22"/>
        </w:rPr>
        <w:t>zaobserwowano pik wniosków kredytowych – w marcu 2021 r</w:t>
      </w:r>
      <w:r w:rsidRPr="008A37D0">
        <w:rPr>
          <w:rFonts w:ascii="Poppins" w:eastAsia="Poppins" w:hAnsi="Poppins" w:cs="Poppins"/>
          <w:sz w:val="22"/>
          <w:szCs w:val="22"/>
        </w:rPr>
        <w:t>.</w:t>
      </w:r>
      <w:r w:rsidR="005C71B4" w:rsidRPr="008A37D0">
        <w:rPr>
          <w:rFonts w:ascii="Poppins" w:eastAsia="Poppins" w:hAnsi="Poppins" w:cs="Poppins"/>
          <w:sz w:val="22"/>
          <w:szCs w:val="22"/>
        </w:rPr>
        <w:t xml:space="preserve"> o nową „hipotekę” wnioskowało</w:t>
      </w:r>
      <w:r w:rsidRPr="003F2A4F">
        <w:rPr>
          <w:rFonts w:ascii="Poppins" w:eastAsia="Poppins" w:hAnsi="Poppins" w:cs="Poppins"/>
          <w:sz w:val="22"/>
          <w:szCs w:val="22"/>
        </w:rPr>
        <w:t xml:space="preserve"> ponad 56 tys</w:t>
      </w:r>
      <w:r w:rsidRPr="008A37D0">
        <w:rPr>
          <w:rFonts w:ascii="Poppins" w:eastAsia="Poppins" w:hAnsi="Poppins" w:cs="Poppins"/>
          <w:sz w:val="22"/>
          <w:szCs w:val="22"/>
        </w:rPr>
        <w:t>.</w:t>
      </w:r>
      <w:r w:rsidR="005C71B4" w:rsidRPr="008A37D0">
        <w:rPr>
          <w:rFonts w:ascii="Poppins" w:eastAsia="Poppins" w:hAnsi="Poppins" w:cs="Poppins"/>
          <w:sz w:val="22"/>
          <w:szCs w:val="22"/>
        </w:rPr>
        <w:t xml:space="preserve"> osób</w:t>
      </w:r>
      <w:r w:rsidRPr="003F2A4F">
        <w:rPr>
          <w:rFonts w:ascii="Poppins" w:eastAsia="Poppins" w:hAnsi="Poppins" w:cs="Poppins"/>
          <w:sz w:val="22"/>
          <w:szCs w:val="22"/>
        </w:rPr>
        <w:t xml:space="preserve"> (wzrost o 35% rok do roku), w </w:t>
      </w:r>
      <w:r w:rsidRPr="008A37D0">
        <w:rPr>
          <w:rFonts w:ascii="Poppins" w:eastAsia="Poppins" w:hAnsi="Poppins" w:cs="Poppins"/>
          <w:sz w:val="22"/>
          <w:szCs w:val="22"/>
        </w:rPr>
        <w:t xml:space="preserve">kwietniu </w:t>
      </w:r>
      <w:r w:rsidR="00216A0A" w:rsidRPr="008A37D0">
        <w:rPr>
          <w:rFonts w:ascii="Poppins" w:eastAsia="Poppins" w:hAnsi="Poppins" w:cs="Poppins"/>
          <w:sz w:val="22"/>
          <w:szCs w:val="22"/>
        </w:rPr>
        <w:t>51</w:t>
      </w:r>
      <w:r w:rsidRPr="008A37D0">
        <w:rPr>
          <w:rFonts w:ascii="Poppins" w:eastAsia="Poppins" w:hAnsi="Poppins" w:cs="Poppins"/>
          <w:sz w:val="22"/>
          <w:szCs w:val="22"/>
        </w:rPr>
        <w:t xml:space="preserve"> tys. (wzrost aż o </w:t>
      </w:r>
      <w:r w:rsidR="00216A0A" w:rsidRPr="008A37D0">
        <w:rPr>
          <w:rFonts w:ascii="Poppins" w:eastAsia="Poppins" w:hAnsi="Poppins" w:cs="Poppins"/>
          <w:sz w:val="22"/>
          <w:szCs w:val="22"/>
        </w:rPr>
        <w:t>83</w:t>
      </w:r>
      <w:r w:rsidRPr="008A37D0">
        <w:rPr>
          <w:rFonts w:ascii="Poppins" w:eastAsia="Poppins" w:hAnsi="Poppins" w:cs="Poppins"/>
          <w:sz w:val="22"/>
          <w:szCs w:val="22"/>
        </w:rPr>
        <w:t xml:space="preserve">%). </w:t>
      </w:r>
    </w:p>
    <w:p w14:paraId="4306F0A8" w14:textId="77777777" w:rsidR="00C75AB9" w:rsidRDefault="00C75AB9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6EFF31F7" w14:textId="7FC1B52C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sz w:val="22"/>
          <w:szCs w:val="22"/>
        </w:rPr>
        <w:t>Kolejne miesiące przyniosły więc spadki, a w roku 2022 nastąpiło</w:t>
      </w:r>
      <w:r w:rsidR="00250763">
        <w:rPr>
          <w:rFonts w:ascii="Poppins" w:eastAsia="Poppins" w:hAnsi="Poppins" w:cs="Poppins"/>
          <w:sz w:val="22"/>
          <w:szCs w:val="22"/>
        </w:rPr>
        <w:t xml:space="preserve"> </w:t>
      </w:r>
      <w:r w:rsidR="00250763" w:rsidRPr="003F2A4F">
        <w:rPr>
          <w:rFonts w:ascii="Poppins" w:eastAsia="Poppins" w:hAnsi="Poppins" w:cs="Poppins"/>
          <w:sz w:val="22"/>
          <w:szCs w:val="22"/>
        </w:rPr>
        <w:t>wspomniane przez eksperta</w:t>
      </w:r>
      <w:r w:rsidR="00250763">
        <w:rPr>
          <w:rFonts w:ascii="Poppins" w:eastAsia="Poppins" w:hAnsi="Poppins" w:cs="Poppins"/>
          <w:sz w:val="22"/>
          <w:szCs w:val="22"/>
        </w:rPr>
        <w:t xml:space="preserve"> -</w:t>
      </w:r>
      <w:r w:rsidRPr="003F2A4F">
        <w:rPr>
          <w:rFonts w:ascii="Poppins" w:eastAsia="Poppins" w:hAnsi="Poppins" w:cs="Poppins"/>
          <w:sz w:val="22"/>
          <w:szCs w:val="22"/>
        </w:rPr>
        <w:t xml:space="preserve"> drugie zamrożenie rynku. Od kwietnia do </w:t>
      </w:r>
      <w:r w:rsidRPr="00A9400B">
        <w:rPr>
          <w:rFonts w:ascii="Poppins" w:eastAsia="Poppins" w:hAnsi="Poppins" w:cs="Poppins"/>
          <w:sz w:val="22"/>
          <w:szCs w:val="22"/>
        </w:rPr>
        <w:t>października</w:t>
      </w:r>
      <w:r w:rsidR="0005027D" w:rsidRPr="00A9400B">
        <w:rPr>
          <w:rFonts w:ascii="Poppins" w:eastAsia="Poppins" w:hAnsi="Poppins" w:cs="Poppins"/>
          <w:sz w:val="22"/>
          <w:szCs w:val="22"/>
        </w:rPr>
        <w:t xml:space="preserve"> 2022 r.</w:t>
      </w:r>
      <w:r w:rsidRPr="00A9400B">
        <w:rPr>
          <w:rFonts w:ascii="Poppins" w:eastAsia="Poppins" w:hAnsi="Poppins" w:cs="Poppins"/>
          <w:sz w:val="22"/>
          <w:szCs w:val="22"/>
        </w:rPr>
        <w:t xml:space="preserve"> liczba</w:t>
      </w:r>
      <w:r w:rsidRPr="003F2A4F">
        <w:rPr>
          <w:rFonts w:ascii="Poppins" w:eastAsia="Poppins" w:hAnsi="Poppins" w:cs="Poppins"/>
          <w:sz w:val="22"/>
          <w:szCs w:val="22"/>
        </w:rPr>
        <w:t xml:space="preserve"> udzielonych kredytów hipotecznych spadła ponad trzykrotnie w ujęciu rok do roku,</w:t>
      </w:r>
      <w:r w:rsidR="00250763">
        <w:rPr>
          <w:rFonts w:ascii="Poppins" w:eastAsia="Poppins" w:hAnsi="Poppins" w:cs="Poppins"/>
          <w:sz w:val="22"/>
          <w:szCs w:val="22"/>
        </w:rPr>
        <w:t xml:space="preserve"> a w</w:t>
      </w:r>
      <w:r w:rsidRPr="003F2A4F">
        <w:rPr>
          <w:rFonts w:ascii="Poppins" w:eastAsia="Poppins" w:hAnsi="Poppins" w:cs="Poppins"/>
          <w:sz w:val="22"/>
          <w:szCs w:val="22"/>
        </w:rPr>
        <w:t xml:space="preserve"> listopadzie odnotowano spadek aż o 70%. Głównymi przyczynami były silny wzrost stóp procentowych oraz pogorszenie zdolności kredytowej Polaków.</w:t>
      </w:r>
    </w:p>
    <w:p w14:paraId="4F2CCB03" w14:textId="77777777" w:rsidR="009A4E0F" w:rsidRPr="003F2A4F" w:rsidRDefault="00000000" w:rsidP="00946C37">
      <w:pPr>
        <w:pStyle w:val="normal1"/>
        <w:jc w:val="center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noProof/>
          <w:sz w:val="22"/>
          <w:szCs w:val="22"/>
        </w:rPr>
        <w:lastRenderedPageBreak/>
        <w:drawing>
          <wp:inline distT="0" distB="0" distL="0" distR="0" wp14:anchorId="5C77A991" wp14:editId="75B103A1">
            <wp:extent cx="5218275" cy="4350207"/>
            <wp:effectExtent l="0" t="0" r="0" b="0"/>
            <wp:docPr id="7" name="image1.png" descr="Obraz zawierający tekst, zrzut ekranu, Czcionka, numer&#10;&#10;Zawartość wygenerowana przez sztuczną inteligencję może być niepoprawna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Obraz zawierający tekst, zrzut ekranu, Czcionka, numer&#10;&#10;Zawartość wygenerowana przez sztuczną inteligencję może być niepoprawna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18275" cy="43502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751CB7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1BDB5E2B" w14:textId="483FEE8D" w:rsidR="009A4E0F" w:rsidRPr="003F2A4F" w:rsidRDefault="00946C37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CC24C2">
        <w:rPr>
          <w:rFonts w:ascii="Poppins" w:eastAsia="Poppins" w:hAnsi="Poppins" w:cs="Poppins"/>
          <w:sz w:val="22"/>
          <w:szCs w:val="22"/>
        </w:rPr>
        <w:t>Wyniki</w:t>
      </w:r>
      <w:r w:rsidRPr="003F2A4F">
        <w:rPr>
          <w:rFonts w:ascii="Poppins" w:eastAsia="Poppins" w:hAnsi="Poppins" w:cs="Poppins"/>
          <w:sz w:val="22"/>
          <w:szCs w:val="22"/>
        </w:rPr>
        <w:t xml:space="preserve"> sprzedażowe banków w 2023 r. </w:t>
      </w:r>
      <w:r w:rsidR="00250763">
        <w:rPr>
          <w:rFonts w:ascii="Poppins" w:eastAsia="Poppins" w:hAnsi="Poppins" w:cs="Poppins"/>
          <w:sz w:val="22"/>
          <w:szCs w:val="22"/>
        </w:rPr>
        <w:t>u</w:t>
      </w:r>
      <w:r w:rsidRPr="003F2A4F">
        <w:rPr>
          <w:rFonts w:ascii="Poppins" w:eastAsia="Poppins" w:hAnsi="Poppins" w:cs="Poppins"/>
          <w:sz w:val="22"/>
          <w:szCs w:val="22"/>
        </w:rPr>
        <w:t xml:space="preserve">ratował </w:t>
      </w:r>
      <w:r w:rsidRPr="00CC24C2">
        <w:rPr>
          <w:rFonts w:ascii="Poppins" w:eastAsia="Poppins" w:hAnsi="Poppins" w:cs="Poppins"/>
          <w:sz w:val="22"/>
          <w:szCs w:val="22"/>
        </w:rPr>
        <w:t>natomiast</w:t>
      </w:r>
      <w:r w:rsidRPr="003F2A4F">
        <w:rPr>
          <w:rFonts w:ascii="Poppins" w:eastAsia="Poppins" w:hAnsi="Poppins" w:cs="Poppins"/>
          <w:sz w:val="22"/>
          <w:szCs w:val="22"/>
        </w:rPr>
        <w:t xml:space="preserve"> program Bezpieczny Kredyt 2%. W jaki sposób? – </w:t>
      </w:r>
      <w:r w:rsidRPr="003F2A4F">
        <w:rPr>
          <w:rFonts w:ascii="Poppins" w:eastAsia="Poppins" w:hAnsi="Poppins" w:cs="Poppins"/>
          <w:i/>
          <w:sz w:val="22"/>
          <w:szCs w:val="22"/>
        </w:rPr>
        <w:t>Wielu beneficjentów wspomnianego programu miało bardzo niski wkład własny, który uzupełniała gwarancja Banku Gospodarstwa Krajowego</w:t>
      </w:r>
      <w:r w:rsidR="00A3763E">
        <w:rPr>
          <w:rFonts w:ascii="Poppins" w:eastAsia="Poppins" w:hAnsi="Poppins" w:cs="Poppins"/>
          <w:i/>
          <w:sz w:val="22"/>
          <w:szCs w:val="22"/>
        </w:rPr>
        <w:t xml:space="preserve">. </w:t>
      </w:r>
      <w:r w:rsidR="00A3763E" w:rsidRPr="00CC24C2">
        <w:rPr>
          <w:rFonts w:ascii="Poppins" w:eastAsia="Poppins" w:hAnsi="Poppins" w:cs="Poppins"/>
          <w:i/>
          <w:sz w:val="22"/>
          <w:szCs w:val="22"/>
        </w:rPr>
        <w:t>Wspomniana gwarancja działała jako dodatkowy czynnik zachęcający do zaciągania zobowiązań hipotecznych (poza</w:t>
      </w:r>
      <w:r w:rsidRPr="00CC24C2">
        <w:rPr>
          <w:rFonts w:ascii="Poppins" w:eastAsia="Poppins" w:hAnsi="Poppins" w:cs="Poppins"/>
          <w:i/>
          <w:sz w:val="22"/>
          <w:szCs w:val="22"/>
        </w:rPr>
        <w:t xml:space="preserve"> bardzo</w:t>
      </w:r>
      <w:r w:rsidR="00A3763E" w:rsidRPr="00CC24C2">
        <w:rPr>
          <w:rFonts w:ascii="Poppins" w:eastAsia="Poppins" w:hAnsi="Poppins" w:cs="Poppins"/>
          <w:i/>
          <w:sz w:val="22"/>
          <w:szCs w:val="22"/>
        </w:rPr>
        <w:t xml:space="preserve"> niskim, preferencyjnym oprocentowaniem</w:t>
      </w:r>
      <w:r w:rsidRPr="00CC24C2">
        <w:rPr>
          <w:rFonts w:ascii="Poppins" w:eastAsia="Poppins" w:hAnsi="Poppins" w:cs="Poppins"/>
          <w:i/>
          <w:sz w:val="22"/>
          <w:szCs w:val="22"/>
        </w:rPr>
        <w:t xml:space="preserve"> w programie BK 2%</w:t>
      </w:r>
      <w:r w:rsidR="00A3763E" w:rsidRPr="00CC24C2">
        <w:rPr>
          <w:rFonts w:ascii="Poppins" w:eastAsia="Poppins" w:hAnsi="Poppins" w:cs="Poppins"/>
          <w:i/>
          <w:sz w:val="22"/>
          <w:szCs w:val="22"/>
        </w:rPr>
        <w:t>)</w:t>
      </w:r>
      <w:r w:rsidRPr="003F2A4F">
        <w:rPr>
          <w:rFonts w:ascii="Poppins" w:eastAsia="Poppins" w:hAnsi="Poppins" w:cs="Poppins"/>
          <w:i/>
          <w:sz w:val="22"/>
          <w:szCs w:val="22"/>
        </w:rPr>
        <w:t xml:space="preserve"> </w:t>
      </w:r>
      <w:r w:rsidRPr="003F2A4F">
        <w:rPr>
          <w:rFonts w:ascii="Poppins" w:eastAsia="Poppins" w:hAnsi="Poppins" w:cs="Poppins"/>
          <w:sz w:val="22"/>
          <w:szCs w:val="22"/>
        </w:rPr>
        <w:t xml:space="preserve">– tłumaczy Andrzej Prajsnar. W listopadzie 2023 roku odnotowano rekordowy wzrost </w:t>
      </w:r>
      <w:r w:rsidRPr="008A37D0">
        <w:rPr>
          <w:rFonts w:ascii="Poppins" w:eastAsia="Poppins" w:hAnsi="Poppins" w:cs="Poppins"/>
          <w:sz w:val="22"/>
          <w:szCs w:val="22"/>
        </w:rPr>
        <w:t>wartości</w:t>
      </w:r>
      <w:r w:rsidRPr="003F2A4F">
        <w:rPr>
          <w:rFonts w:ascii="Poppins" w:eastAsia="Poppins" w:hAnsi="Poppins" w:cs="Poppins"/>
          <w:sz w:val="22"/>
          <w:szCs w:val="22"/>
        </w:rPr>
        <w:t xml:space="preserve"> zapytań o kredyty mieszkaniowe – o 255% w porównaniu do roku poprzedniego. </w:t>
      </w:r>
      <w:r w:rsidRPr="008A37D0">
        <w:rPr>
          <w:rFonts w:ascii="Poppins" w:eastAsia="Poppins" w:hAnsi="Poppins" w:cs="Poppins"/>
          <w:sz w:val="22"/>
          <w:szCs w:val="22"/>
        </w:rPr>
        <w:t>Liczba osób wnioskujących o nowe kredyty mieszkaniowe wzrosła natomiast o 193%,</w:t>
      </w:r>
      <w:r w:rsidRPr="003F2A4F">
        <w:rPr>
          <w:rFonts w:ascii="Poppins" w:eastAsia="Poppins" w:hAnsi="Poppins" w:cs="Poppins"/>
          <w:sz w:val="22"/>
          <w:szCs w:val="22"/>
        </w:rPr>
        <w:t xml:space="preserve"> osiągając niemal 40 tys. </w:t>
      </w:r>
    </w:p>
    <w:p w14:paraId="49B84840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3DB894AB" w14:textId="04ADCF71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sz w:val="22"/>
          <w:szCs w:val="22"/>
        </w:rPr>
        <w:t>Z końcem 2023 roku program BK</w:t>
      </w:r>
      <w:r w:rsidR="00946C37">
        <w:rPr>
          <w:rFonts w:ascii="Poppins" w:eastAsia="Poppins" w:hAnsi="Poppins" w:cs="Poppins"/>
          <w:sz w:val="22"/>
          <w:szCs w:val="22"/>
        </w:rPr>
        <w:t xml:space="preserve"> </w:t>
      </w:r>
      <w:r w:rsidRPr="003F2A4F">
        <w:rPr>
          <w:rFonts w:ascii="Poppins" w:eastAsia="Poppins" w:hAnsi="Poppins" w:cs="Poppins"/>
          <w:sz w:val="22"/>
          <w:szCs w:val="22"/>
        </w:rPr>
        <w:t xml:space="preserve">2% wygaszono, jednak pozostała w mocy </w:t>
      </w:r>
      <w:r w:rsidRPr="008A37D0">
        <w:rPr>
          <w:rFonts w:ascii="Poppins" w:eastAsia="Poppins" w:hAnsi="Poppins" w:cs="Poppins"/>
          <w:sz w:val="22"/>
          <w:szCs w:val="22"/>
        </w:rPr>
        <w:t>złagodzona</w:t>
      </w:r>
      <w:r w:rsidR="00A3763E" w:rsidRPr="008A37D0">
        <w:rPr>
          <w:rFonts w:ascii="Poppins" w:eastAsia="Poppins" w:hAnsi="Poppins" w:cs="Poppins"/>
          <w:sz w:val="22"/>
          <w:szCs w:val="22"/>
        </w:rPr>
        <w:t xml:space="preserve"> między innymi</w:t>
      </w:r>
      <w:r w:rsidRPr="003F2A4F">
        <w:rPr>
          <w:rFonts w:ascii="Poppins" w:eastAsia="Poppins" w:hAnsi="Poppins" w:cs="Poppins"/>
          <w:sz w:val="22"/>
          <w:szCs w:val="22"/>
        </w:rPr>
        <w:t xml:space="preserve"> na jego potrzeby Rekomendacja S. Ponieważ oznaczała średni wzrost zdolności kredytowej</w:t>
      </w:r>
      <w:r w:rsidR="00B21A69">
        <w:rPr>
          <w:rFonts w:ascii="Poppins" w:eastAsia="Poppins" w:hAnsi="Poppins" w:cs="Poppins"/>
          <w:sz w:val="22"/>
          <w:szCs w:val="22"/>
        </w:rPr>
        <w:t xml:space="preserve"> </w:t>
      </w:r>
      <w:r w:rsidR="00B21A69" w:rsidRPr="008A37D0">
        <w:rPr>
          <w:rFonts w:ascii="Poppins" w:eastAsia="Poppins" w:hAnsi="Poppins" w:cs="Poppins"/>
          <w:sz w:val="22"/>
          <w:szCs w:val="22"/>
        </w:rPr>
        <w:t>nawet</w:t>
      </w:r>
      <w:r w:rsidRPr="003F2A4F">
        <w:rPr>
          <w:rFonts w:ascii="Poppins" w:eastAsia="Poppins" w:hAnsi="Poppins" w:cs="Poppins"/>
          <w:sz w:val="22"/>
          <w:szCs w:val="22"/>
        </w:rPr>
        <w:t xml:space="preserve"> o ok. 30% w stosunku do sytuacji wcześniejszej, w 2024 roku trwało relatywne ożywienie w hipotekach. Z danych przedstawionych przez Związek Banków Polskich wynika, że w 2024 r. liczba udzielonych kredytów wzrosła o 25%, a wartość o 36% na tle roku poprzedniego. </w:t>
      </w:r>
    </w:p>
    <w:p w14:paraId="6D2C40A8" w14:textId="77777777" w:rsidR="009A4E0F" w:rsidRPr="003F2A4F" w:rsidRDefault="009A4E0F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</w:p>
    <w:p w14:paraId="55B95362" w14:textId="3F8ED409" w:rsidR="009A4E0F" w:rsidRPr="003F2A4F" w:rsidRDefault="00000000">
      <w:pPr>
        <w:pStyle w:val="normal1"/>
        <w:spacing w:after="160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b/>
          <w:sz w:val="22"/>
          <w:szCs w:val="22"/>
        </w:rPr>
        <w:lastRenderedPageBreak/>
        <w:t>Co będzie z kredytami w 2025 roku</w:t>
      </w:r>
      <w:r w:rsidR="003F2A4F">
        <w:rPr>
          <w:rFonts w:ascii="Poppins" w:eastAsia="Poppins" w:hAnsi="Poppins" w:cs="Poppins"/>
          <w:b/>
          <w:sz w:val="22"/>
          <w:szCs w:val="22"/>
        </w:rPr>
        <w:t>?</w:t>
      </w:r>
    </w:p>
    <w:p w14:paraId="41C0B53C" w14:textId="59BF627C" w:rsidR="009A4E0F" w:rsidRPr="003F2A4F" w:rsidRDefault="00000000">
      <w:pPr>
        <w:pStyle w:val="normal1"/>
        <w:jc w:val="both"/>
        <w:rPr>
          <w:rFonts w:ascii="Poppins" w:eastAsia="Poppins" w:hAnsi="Poppins" w:cs="Poppins"/>
          <w:b/>
          <w:sz w:val="22"/>
          <w:szCs w:val="22"/>
        </w:rPr>
      </w:pPr>
      <w:r w:rsidRPr="003F2A4F">
        <w:rPr>
          <w:rFonts w:ascii="Poppins" w:eastAsia="Poppins" w:hAnsi="Poppins" w:cs="Poppins"/>
          <w:sz w:val="22"/>
          <w:szCs w:val="22"/>
        </w:rPr>
        <w:t xml:space="preserve">Choć dobre dane z lutego i pozytywne sygnały z marca budzą </w:t>
      </w:r>
      <w:r w:rsidRPr="008A37D0">
        <w:rPr>
          <w:rFonts w:ascii="Poppins" w:eastAsia="Poppins" w:hAnsi="Poppins" w:cs="Poppins"/>
          <w:sz w:val="22"/>
          <w:szCs w:val="22"/>
        </w:rPr>
        <w:t>optymizm</w:t>
      </w:r>
      <w:r w:rsidR="00946C37" w:rsidRPr="008A37D0">
        <w:rPr>
          <w:rFonts w:ascii="Poppins" w:eastAsia="Poppins" w:hAnsi="Poppins" w:cs="Poppins"/>
          <w:sz w:val="22"/>
          <w:szCs w:val="22"/>
        </w:rPr>
        <w:t xml:space="preserve"> u sprzedawców mieszkań</w:t>
      </w:r>
      <w:r w:rsidRPr="003F2A4F">
        <w:rPr>
          <w:rFonts w:ascii="Poppins" w:eastAsia="Poppins" w:hAnsi="Poppins" w:cs="Poppins"/>
          <w:sz w:val="22"/>
          <w:szCs w:val="22"/>
        </w:rPr>
        <w:t xml:space="preserve">, ekspert portalu RunekPierwotny.pl przewiduje, że sytuacja wykrystalizuje się w ciągu ok. kwartału. – </w:t>
      </w:r>
      <w:r w:rsidRPr="003F2A4F">
        <w:rPr>
          <w:rFonts w:ascii="Poppins" w:eastAsia="Poppins" w:hAnsi="Poppins" w:cs="Poppins"/>
          <w:i/>
          <w:sz w:val="22"/>
          <w:szCs w:val="22"/>
        </w:rPr>
        <w:t>Na pewno do potencjalnych nabywców mieszkań docierają informacje dotyczące spodziewanych obniżek stóp procentowych w drugiej połowie bieżącego roku. Rodzi się pytanie, jak duży to będzie miało wpływ na obecne decyzje zakupowe. Za 3</w:t>
      </w:r>
      <w:r w:rsidR="005C284C">
        <w:rPr>
          <w:rFonts w:ascii="Poppins" w:eastAsia="Poppins" w:hAnsi="Poppins" w:cs="Poppins"/>
          <w:i/>
          <w:sz w:val="22"/>
          <w:szCs w:val="22"/>
        </w:rPr>
        <w:t xml:space="preserve"> - </w:t>
      </w:r>
      <w:r w:rsidRPr="003F2A4F">
        <w:rPr>
          <w:rFonts w:ascii="Poppins" w:eastAsia="Poppins" w:hAnsi="Poppins" w:cs="Poppins"/>
          <w:i/>
          <w:sz w:val="22"/>
          <w:szCs w:val="22"/>
        </w:rPr>
        <w:t>4 miesiące niepewność odnośnie zmian stóp procentowych NBP oraz ewentualnych dopłat kredytowych będzie bowiem mniejsza. Na to może czekać wiele osób</w:t>
      </w:r>
      <w:r w:rsidRPr="003F2A4F">
        <w:rPr>
          <w:rFonts w:ascii="Poppins" w:eastAsia="Poppins" w:hAnsi="Poppins" w:cs="Poppins"/>
          <w:sz w:val="22"/>
          <w:szCs w:val="22"/>
        </w:rPr>
        <w:t xml:space="preserve"> – mówi Andrzej Prajsnar. </w:t>
      </w:r>
    </w:p>
    <w:p w14:paraId="18F5A873" w14:textId="77777777" w:rsidR="009A4E0F" w:rsidRPr="003F2A4F" w:rsidRDefault="009A4E0F">
      <w:pPr>
        <w:pStyle w:val="normal1"/>
        <w:spacing w:line="259" w:lineRule="auto"/>
        <w:jc w:val="center"/>
        <w:rPr>
          <w:rFonts w:ascii="Poppins" w:eastAsia="Poppins" w:hAnsi="Poppins" w:cs="Poppins"/>
          <w:b/>
          <w:sz w:val="22"/>
          <w:szCs w:val="22"/>
        </w:rPr>
      </w:pPr>
    </w:p>
    <w:sectPr w:rsidR="009A4E0F" w:rsidRPr="003F2A4F" w:rsidSect="00715525">
      <w:headerReference w:type="even" r:id="rId10"/>
      <w:headerReference w:type="default" r:id="rId11"/>
      <w:headerReference w:type="first" r:id="rId12"/>
      <w:pgSz w:w="11906" w:h="16838"/>
      <w:pgMar w:top="1417" w:right="1417" w:bottom="1417" w:left="1417" w:header="1134" w:footer="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E341D4" w14:textId="77777777" w:rsidR="00C806C8" w:rsidRDefault="00C806C8">
      <w:pPr>
        <w:spacing w:after="0" w:line="240" w:lineRule="auto"/>
      </w:pPr>
      <w:r>
        <w:separator/>
      </w:r>
    </w:p>
  </w:endnote>
  <w:endnote w:type="continuationSeparator" w:id="0">
    <w:p w14:paraId="7606E583" w14:textId="77777777" w:rsidR="00C806C8" w:rsidRDefault="00C806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9DDB4FB-1D4F-4399-B921-885F56CA5997}"/>
    <w:embedBold r:id="rId2" w:fontKey="{359450B1-9646-456C-9A40-8B5AA3C518AF}"/>
    <w:embedItalic r:id="rId3" w:fontKey="{BF235E44-39FB-4991-98A7-9BC49F78D9D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4" w:fontKey="{531C15B2-FFC4-475F-804E-44FD13ACC977}"/>
    <w:embedItalic r:id="rId5" w:fontKey="{E3ED787D-E086-41B3-B279-3A3A9EC1AAEF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9B4C30E6-9AD8-413A-B70D-B3D022C15C8B}"/>
    <w:embedItalic r:id="rId7" w:fontKey="{77FA973F-F7B6-47F0-90BE-B002DEFED0F7}"/>
  </w:font>
  <w:font w:name="Poppins">
    <w:panose1 w:val="00000500000000000000"/>
    <w:charset w:val="EE"/>
    <w:family w:val="auto"/>
    <w:pitch w:val="variable"/>
    <w:sig w:usb0="00008007" w:usb1="00000000" w:usb2="00000000" w:usb3="00000000" w:csb0="00000093" w:csb1="00000000"/>
    <w:embedRegular r:id="rId8" w:fontKey="{2793FBD7-B0E0-416A-9EC5-D25442921CCA}"/>
    <w:embedBold r:id="rId9" w:fontKey="{AA26DB84-0331-4446-9826-E273C4E40865}"/>
    <w:embedItalic r:id="rId10" w:fontKey="{51D6B68C-7603-4AD2-B8F6-068786772DD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CCF37EF1-61D1-4AA3-8545-8814312EEF7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448107" w14:textId="77777777" w:rsidR="00C806C8" w:rsidRDefault="00C806C8">
      <w:pPr>
        <w:spacing w:after="0" w:line="240" w:lineRule="auto"/>
      </w:pPr>
      <w:r>
        <w:separator/>
      </w:r>
    </w:p>
  </w:footnote>
  <w:footnote w:type="continuationSeparator" w:id="0">
    <w:p w14:paraId="5A63407A" w14:textId="77777777" w:rsidR="00C806C8" w:rsidRDefault="00C806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490683" w14:textId="77777777" w:rsidR="009A4E0F" w:rsidRDefault="009A4E0F">
    <w:pPr>
      <w:pStyle w:val="normal1"/>
      <w:pBdr>
        <w:top w:val="nil"/>
        <w:left w:val="nil"/>
        <w:bottom w:val="nil"/>
        <w:right w:val="nil"/>
        <w:between w:val="nil"/>
      </w:pBdr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5068E" w14:textId="77777777" w:rsidR="009A4E0F" w:rsidRDefault="00000000">
    <w:pPr>
      <w:pStyle w:val="normal1"/>
      <w:rPr>
        <w:color w:val="000000"/>
        <w:sz w:val="22"/>
        <w:szCs w:val="22"/>
      </w:rPr>
    </w:pPr>
    <w:r>
      <w:rPr>
        <w:color w:val="000000"/>
        <w:sz w:val="22"/>
        <w:szCs w:val="22"/>
      </w:rPr>
      <w:tab/>
    </w:r>
    <w:r>
      <w:rPr>
        <w:color w:val="000000"/>
        <w:sz w:val="22"/>
        <w:szCs w:val="22"/>
      </w:rPr>
      <w:br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30DFA579" wp14:editId="0EDBEE4C">
          <wp:simplePos x="0" y="0"/>
          <wp:positionH relativeFrom="column">
            <wp:posOffset>-781683</wp:posOffset>
          </wp:positionH>
          <wp:positionV relativeFrom="paragraph">
            <wp:posOffset>-624203</wp:posOffset>
          </wp:positionV>
          <wp:extent cx="7496810" cy="1033145"/>
          <wp:effectExtent l="0" t="0" r="0" b="0"/>
          <wp:wrapSquare wrapText="bothSides" distT="0" distB="0" distL="114300" distR="114300"/>
          <wp:docPr id="1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l="10" r="9"/>
                  <a:stretch>
                    <a:fillRect/>
                  </a:stretch>
                </pic:blipFill>
                <pic:spPr>
                  <a:xfrm>
                    <a:off x="0" y="0"/>
                    <a:ext cx="7496810" cy="10331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073B87" w14:textId="77777777" w:rsidR="009A4E0F" w:rsidRDefault="00000000">
    <w:pPr>
      <w:pStyle w:val="normal1"/>
      <w:rPr>
        <w:color w:val="000000"/>
        <w:sz w:val="22"/>
        <w:szCs w:val="22"/>
      </w:rPr>
    </w:pPr>
    <w:r>
      <w:rPr>
        <w:color w:val="000000"/>
        <w:sz w:val="22"/>
        <w:szCs w:val="22"/>
      </w:rPr>
      <w:tab/>
    </w:r>
    <w:r>
      <w:rPr>
        <w:color w:val="000000"/>
        <w:sz w:val="22"/>
        <w:szCs w:val="22"/>
      </w:rPr>
      <w:br/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26519D32" wp14:editId="24085ADC">
          <wp:simplePos x="0" y="0"/>
          <wp:positionH relativeFrom="column">
            <wp:posOffset>-781683</wp:posOffset>
          </wp:positionH>
          <wp:positionV relativeFrom="paragraph">
            <wp:posOffset>-624203</wp:posOffset>
          </wp:positionV>
          <wp:extent cx="7496810" cy="1033145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l="10" r="9"/>
                  <a:stretch>
                    <a:fillRect/>
                  </a:stretch>
                </pic:blipFill>
                <pic:spPr>
                  <a:xfrm>
                    <a:off x="0" y="0"/>
                    <a:ext cx="7496810" cy="10331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4E0F"/>
    <w:rsid w:val="0005027D"/>
    <w:rsid w:val="00116021"/>
    <w:rsid w:val="001A25D0"/>
    <w:rsid w:val="00216A0A"/>
    <w:rsid w:val="00250763"/>
    <w:rsid w:val="00284E09"/>
    <w:rsid w:val="003C4D19"/>
    <w:rsid w:val="003E262D"/>
    <w:rsid w:val="003F2A4F"/>
    <w:rsid w:val="005C284C"/>
    <w:rsid w:val="005C71B4"/>
    <w:rsid w:val="006E0268"/>
    <w:rsid w:val="00702F06"/>
    <w:rsid w:val="00715525"/>
    <w:rsid w:val="008A37D0"/>
    <w:rsid w:val="00946C37"/>
    <w:rsid w:val="009A4E0F"/>
    <w:rsid w:val="009C6E6C"/>
    <w:rsid w:val="00A3763E"/>
    <w:rsid w:val="00A9400B"/>
    <w:rsid w:val="00B21A69"/>
    <w:rsid w:val="00C2590E"/>
    <w:rsid w:val="00C75AB9"/>
    <w:rsid w:val="00C806C8"/>
    <w:rsid w:val="00CC24C2"/>
    <w:rsid w:val="00E235FB"/>
    <w:rsid w:val="00EE6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37889F"/>
  <w15:docId w15:val="{73B31D02-72CA-4693-8229-7B5DE429E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9" w:lineRule="auto"/>
      <w:textAlignment w:val="top"/>
      <w:outlineLvl w:val="0"/>
    </w:pPr>
    <w:rPr>
      <w:position w:val="-1"/>
      <w:sz w:val="22"/>
      <w:szCs w:val="22"/>
      <w:lang w:eastAsia="en-US"/>
    </w:rPr>
  </w:style>
  <w:style w:type="paragraph" w:styleId="Nagwek1">
    <w:name w:val="heading 1"/>
    <w:basedOn w:val="normal1"/>
    <w:next w:val="normal1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1"/>
    <w:next w:val="normal1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1"/>
    <w:next w:val="normal1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1"/>
    <w:next w:val="normal1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1"/>
    <w:next w:val="normal1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1"/>
    <w:next w:val="normal1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1"/>
    <w:next w:val="normal1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Znak">
    <w:name w:val="Nagłówek Znak"/>
    <w:basedOn w:val="Domylnaczcionkaakapitu"/>
    <w:qFormat/>
    <w:rPr>
      <w:w w:val="100"/>
      <w:position w:val="0"/>
      <w:sz w:val="20"/>
      <w:effect w:val="none"/>
      <w:vertAlign w:val="baseline"/>
      <w:em w:val="none"/>
    </w:rPr>
  </w:style>
  <w:style w:type="character" w:customStyle="1" w:styleId="StopkaZnak">
    <w:name w:val="Stopka Znak"/>
    <w:basedOn w:val="Domylnaczcionkaakapitu"/>
    <w:qFormat/>
    <w:rPr>
      <w:w w:val="100"/>
      <w:position w:val="0"/>
      <w:sz w:val="20"/>
      <w:effect w:val="none"/>
      <w:vertAlign w:val="baseline"/>
      <w:em w:val="none"/>
    </w:rPr>
  </w:style>
  <w:style w:type="character" w:customStyle="1" w:styleId="TekstprzypisukocowegoZnak">
    <w:name w:val="Tekst przypisu końcowego Znak"/>
    <w:qFormat/>
    <w:rPr>
      <w:w w:val="100"/>
      <w:position w:val="0"/>
      <w:sz w:val="20"/>
      <w:effect w:val="none"/>
      <w:vertAlign w:val="baseline"/>
      <w:em w:val="none"/>
      <w:lang w:eastAsia="en-US"/>
    </w:rPr>
  </w:style>
  <w:style w:type="character" w:styleId="Odwoanieprzypisukocowego">
    <w:name w:val="endnote reference"/>
    <w:qFormat/>
    <w:rPr>
      <w:w w:val="100"/>
      <w:effect w:val="none"/>
      <w:vertAlign w:val="superscript"/>
      <w:em w:val="none"/>
    </w:rPr>
  </w:style>
  <w:style w:type="character" w:styleId="Hipercze">
    <w:name w:val="Hyperlink"/>
    <w:rPr>
      <w:color w:val="000080"/>
      <w:u w:val="single"/>
    </w:rPr>
  </w:style>
  <w:style w:type="character" w:styleId="Nierozpoznanawzmianka">
    <w:name w:val="Unresolved Mention"/>
    <w:qFormat/>
    <w:rPr>
      <w:color w:val="605E5C"/>
      <w:w w:val="100"/>
      <w:position w:val="0"/>
      <w:sz w:val="20"/>
      <w:effect w:val="none"/>
      <w:shd w:val="clear" w:color="auto" w:fill="E1DFDD"/>
      <w:vertAlign w:val="baseline"/>
      <w:em w:val="none"/>
    </w:rPr>
  </w:style>
  <w:style w:type="character" w:styleId="Pogrubienie">
    <w:name w:val="Strong"/>
    <w:qFormat/>
    <w:rPr>
      <w:b/>
      <w:bCs/>
    </w:rPr>
  </w:style>
  <w:style w:type="paragraph" w:styleId="Nagwek">
    <w:name w:val="header"/>
    <w:basedOn w:val="Normalny"/>
    <w:next w:val="Tekstpodstawowy"/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Nagwekuser">
    <w:name w:val="Nagłówek (user)"/>
    <w:basedOn w:val="Normalny"/>
    <w:next w:val="Tekstpodstawowy"/>
    <w:qFormat/>
    <w:pPr>
      <w:keepNext/>
      <w:spacing w:before="240" w:after="120"/>
    </w:pPr>
    <w:rPr>
      <w:rFonts w:eastAsia="Microsoft YaHei" w:cs="Lucida Sans"/>
      <w:sz w:val="28"/>
      <w:szCs w:val="28"/>
    </w:rPr>
  </w:style>
  <w:style w:type="paragraph" w:customStyle="1" w:styleId="Indeksuser">
    <w:name w:val="Indeks (user)"/>
    <w:basedOn w:val="Normalny"/>
    <w:qFormat/>
    <w:pPr>
      <w:suppressLineNumbers/>
    </w:pPr>
    <w:rPr>
      <w:rFonts w:cs="Lucida Sans"/>
    </w:rPr>
  </w:style>
  <w:style w:type="paragraph" w:customStyle="1" w:styleId="normal1">
    <w:name w:val="normal1"/>
    <w:qFormat/>
    <w:pPr>
      <w:suppressAutoHyphens/>
    </w:pPr>
    <w:rPr>
      <w:lang w:eastAsia="zh-CN" w:bidi="hi-IN"/>
    </w:rPr>
  </w:style>
  <w:style w:type="paragraph" w:customStyle="1" w:styleId="Gwkaistopka">
    <w:name w:val="Główka i stopka"/>
    <w:basedOn w:val="Normalny"/>
    <w:qFormat/>
  </w:style>
  <w:style w:type="paragraph" w:customStyle="1" w:styleId="Gwkaistopkauser">
    <w:name w:val="Główka i stopka (user)"/>
    <w:basedOn w:val="Normalny"/>
    <w:qFormat/>
  </w:style>
  <w:style w:type="paragraph" w:styleId="Stopka">
    <w:name w:val="footer"/>
    <w:basedOn w:val="Normalny"/>
    <w:qFormat/>
    <w:pPr>
      <w:spacing w:after="0" w:line="240" w:lineRule="auto"/>
    </w:pPr>
  </w:style>
  <w:style w:type="paragraph" w:styleId="Tekstprzypisukocowego">
    <w:name w:val="endnote text"/>
    <w:basedOn w:val="Normalny"/>
    <w:qFormat/>
    <w:rPr>
      <w:sz w:val="20"/>
      <w:szCs w:val="2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 w:line="240" w:lineRule="auto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Komentarzuser">
    <w:name w:val="Komentarz (user)"/>
    <w:basedOn w:val="Normalny"/>
    <w:qFormat/>
    <w:pPr>
      <w:spacing w:before="56" w:after="0"/>
      <w:ind w:left="56" w:right="56"/>
    </w:pPr>
    <w:rPr>
      <w:sz w:val="20"/>
      <w:szCs w:val="20"/>
    </w:rPr>
  </w:style>
  <w:style w:type="paragraph" w:customStyle="1" w:styleId="Komentarz">
    <w:name w:val="Komentarz"/>
    <w:basedOn w:val="Normalny"/>
    <w:qFormat/>
    <w:pPr>
      <w:spacing w:before="56" w:after="0"/>
      <w:ind w:left="56" w:right="56"/>
    </w:pPr>
    <w:rPr>
      <w:sz w:val="20"/>
      <w:szCs w:val="20"/>
    </w:r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qFormat/>
    <w:pPr>
      <w:spacing w:line="1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5C71B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71B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71B4"/>
    <w:rPr>
      <w:position w:val="-1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71B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71B4"/>
    <w:rPr>
      <w:b/>
      <w:bCs/>
      <w:position w:val="-1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284E0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ynekpierwotny.p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</a:majorFont>
      <a:minorFont>
        <a:latin typeface="Cambria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tint val="100000"/>
                <a:shade val="100000"/>
              </a:schemeClr>
            </a:gs>
            <a:gs pos="100000">
              <a:schemeClr val="phClr">
                <a:tint val="50000"/>
                <a:shade val="100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IBn/45qwV18ZsKl+2fjjZvUcUQ==">CgMxLjA4AHIhMUpmTHloaVlFUDYxVXJuczU4ZlJaXzlWaGFJdUZab2Zz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709</Words>
  <Characters>4259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Andrzej Prajsnar</dc:creator>
  <cp:lastModifiedBy>Agnieszka Studzińska</cp:lastModifiedBy>
  <cp:revision>8</cp:revision>
  <dcterms:created xsi:type="dcterms:W3CDTF">2025-04-03T12:32:00Z</dcterms:created>
  <dcterms:modified xsi:type="dcterms:W3CDTF">2025-04-04T09:19:00Z</dcterms:modified>
</cp:coreProperties>
</file>