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509CE" w14:textId="3708AEA9" w:rsidR="006170B5" w:rsidRPr="006170B5" w:rsidRDefault="006170B5" w:rsidP="006170B5">
      <w:pPr>
        <w:jc w:val="right"/>
        <w:rPr>
          <w:rFonts w:ascii="Poppins" w:hAnsi="Poppins" w:cs="Poppins"/>
          <w:sz w:val="20"/>
          <w:szCs w:val="20"/>
        </w:rPr>
      </w:pPr>
      <w:r w:rsidRPr="00F837DB">
        <w:rPr>
          <w:rFonts w:ascii="Poppins" w:hAnsi="Poppins" w:cs="Poppins"/>
          <w:sz w:val="20"/>
          <w:szCs w:val="20"/>
        </w:rPr>
        <w:t>Warszawa,</w:t>
      </w:r>
      <w:r w:rsidR="00657D4F">
        <w:rPr>
          <w:rFonts w:ascii="Poppins" w:hAnsi="Poppins" w:cs="Poppins"/>
          <w:sz w:val="20"/>
          <w:szCs w:val="20"/>
        </w:rPr>
        <w:t xml:space="preserve"> </w:t>
      </w:r>
      <w:r w:rsidR="00805E9A">
        <w:rPr>
          <w:rFonts w:ascii="Poppins" w:hAnsi="Poppins" w:cs="Poppins"/>
          <w:sz w:val="20"/>
          <w:szCs w:val="20"/>
        </w:rPr>
        <w:t>1</w:t>
      </w:r>
      <w:r w:rsidR="00672CF8">
        <w:rPr>
          <w:rFonts w:ascii="Poppins" w:hAnsi="Poppins" w:cs="Poppins"/>
          <w:sz w:val="20"/>
          <w:szCs w:val="20"/>
        </w:rPr>
        <w:t>7</w:t>
      </w:r>
      <w:r w:rsidRPr="00F837DB">
        <w:rPr>
          <w:rFonts w:ascii="Poppins" w:hAnsi="Poppins" w:cs="Poppins"/>
          <w:sz w:val="20"/>
          <w:szCs w:val="20"/>
        </w:rPr>
        <w:t>.</w:t>
      </w:r>
      <w:r w:rsidR="00FA538B">
        <w:rPr>
          <w:rFonts w:ascii="Poppins" w:hAnsi="Poppins" w:cs="Poppins"/>
          <w:sz w:val="20"/>
          <w:szCs w:val="20"/>
        </w:rPr>
        <w:t>0</w:t>
      </w:r>
      <w:r w:rsidR="00C574C6">
        <w:rPr>
          <w:rFonts w:ascii="Poppins" w:hAnsi="Poppins" w:cs="Poppins"/>
          <w:sz w:val="20"/>
          <w:szCs w:val="20"/>
        </w:rPr>
        <w:t>4</w:t>
      </w:r>
      <w:r w:rsidRPr="00F837DB">
        <w:rPr>
          <w:rFonts w:ascii="Poppins" w:hAnsi="Poppins" w:cs="Poppins"/>
          <w:sz w:val="20"/>
          <w:szCs w:val="20"/>
        </w:rPr>
        <w:t>.202</w:t>
      </w:r>
      <w:r w:rsidR="00FA538B">
        <w:rPr>
          <w:rFonts w:ascii="Poppins" w:hAnsi="Poppins" w:cs="Poppins"/>
          <w:sz w:val="20"/>
          <w:szCs w:val="20"/>
        </w:rPr>
        <w:t>5</w:t>
      </w:r>
      <w:r w:rsidRPr="00F837DB">
        <w:rPr>
          <w:rFonts w:ascii="Poppins" w:hAnsi="Poppins" w:cs="Poppins"/>
          <w:sz w:val="20"/>
          <w:szCs w:val="20"/>
        </w:rPr>
        <w:t xml:space="preserve"> r.</w:t>
      </w:r>
    </w:p>
    <w:p w14:paraId="7E661A12" w14:textId="278CD071" w:rsidR="00293F01" w:rsidRPr="00293F01" w:rsidRDefault="00293F01" w:rsidP="00FB7A20">
      <w:pPr>
        <w:rPr>
          <w:rFonts w:ascii="Poppins" w:hAnsi="Poppins" w:cs="Poppins"/>
          <w:sz w:val="24"/>
          <w:szCs w:val="24"/>
        </w:rPr>
      </w:pPr>
      <w:r w:rsidRPr="00293F01">
        <w:rPr>
          <w:rFonts w:ascii="Poppins" w:hAnsi="Poppins" w:cs="Poppins"/>
          <w:sz w:val="24"/>
          <w:szCs w:val="24"/>
        </w:rPr>
        <w:t xml:space="preserve">Autor: </w:t>
      </w:r>
      <w:hyperlink r:id="rId8" w:history="1">
        <w:r w:rsidR="00F837DB" w:rsidRPr="006728BD">
          <w:rPr>
            <w:rStyle w:val="Hipercze"/>
            <w:rFonts w:ascii="Poppins" w:hAnsi="Poppins" w:cs="Poppins"/>
            <w:sz w:val="24"/>
            <w:szCs w:val="24"/>
          </w:rPr>
          <w:t>RynekPierwotny.pl</w:t>
        </w:r>
      </w:hyperlink>
    </w:p>
    <w:p w14:paraId="2E3E2AF6" w14:textId="6B400F97" w:rsidR="00C70A85" w:rsidRPr="00672CF8" w:rsidRDefault="00672CF8" w:rsidP="00672CF8">
      <w:pPr>
        <w:pBdr>
          <w:top w:val="nil"/>
          <w:left w:val="nil"/>
          <w:bottom w:val="nil"/>
          <w:right w:val="nil"/>
          <w:between w:val="nil"/>
        </w:pBdr>
        <w:spacing w:line="240" w:lineRule="auto"/>
        <w:jc w:val="both"/>
        <w:rPr>
          <w:rFonts w:ascii="Poppins" w:hAnsi="Poppins" w:cs="Poppins"/>
          <w:b/>
          <w:bCs/>
          <w:color w:val="000000"/>
          <w:sz w:val="36"/>
          <w:szCs w:val="36"/>
          <w:shd w:val="clear" w:color="auto" w:fill="FFFFFF"/>
        </w:rPr>
      </w:pPr>
      <w:r w:rsidRPr="00672CF8">
        <w:rPr>
          <w:rFonts w:ascii="Poppins" w:hAnsi="Poppins" w:cs="Poppins"/>
          <w:b/>
          <w:bCs/>
          <w:color w:val="000000"/>
          <w:sz w:val="36"/>
          <w:szCs w:val="36"/>
          <w:shd w:val="clear" w:color="auto" w:fill="FFFFFF"/>
        </w:rPr>
        <w:t>Pierwszy kwartał 2025 pod lupą deweloperów. Co dalej z rynkiem mieszkaniowym?</w:t>
      </w:r>
      <w:r>
        <w:rPr>
          <w:rFonts w:ascii="Poppins" w:hAnsi="Poppins" w:cs="Poppins"/>
          <w:b/>
          <w:bCs/>
          <w:color w:val="000000"/>
          <w:sz w:val="36"/>
          <w:szCs w:val="36"/>
          <w:shd w:val="clear" w:color="auto" w:fill="FFFFFF"/>
        </w:rPr>
        <w:t xml:space="preserve"> [SONDA]</w:t>
      </w:r>
    </w:p>
    <w:p w14:paraId="62E6688D" w14:textId="44835D25" w:rsidR="00C70A85" w:rsidRPr="00672CF8" w:rsidRDefault="00672CF8" w:rsidP="00672CF8">
      <w:pPr>
        <w:jc w:val="both"/>
        <w:rPr>
          <w:rFonts w:ascii="Poppins" w:hAnsi="Poppins" w:cs="Poppins"/>
          <w:b/>
          <w:bCs/>
        </w:rPr>
      </w:pPr>
      <w:r w:rsidRPr="00672CF8">
        <w:rPr>
          <w:rFonts w:ascii="Poppins" w:hAnsi="Poppins" w:cs="Poppins"/>
          <w:b/>
          <w:bCs/>
        </w:rPr>
        <w:t>RynekPierwotny.pl zapytał przedstawicieli firm deweloperskich o to, jak oceniają sprzedaż mieszkań w pierwszym kwartale 2025 roku. Wnioski? Początek roku upłynął pod znakiem wstrzymywania przez klientów decyzji o zakupie, ale nie brakuje sygnałów, że rynek może wkrótce złapać wiatr w żagle. Deweloperzy mówią o stabilnych wynikach, rosnącym zainteresowaniu, a także o działaniach, które mogą pobudzić sprzedaż w kolejnych miesiącach.</w:t>
      </w:r>
    </w:p>
    <w:p w14:paraId="14E1D0A8" w14:textId="77777777" w:rsidR="00C70A85" w:rsidRPr="00C70A85" w:rsidRDefault="00C70A85" w:rsidP="00C70A85">
      <w:pPr>
        <w:pBdr>
          <w:top w:val="nil"/>
          <w:left w:val="nil"/>
          <w:bottom w:val="nil"/>
          <w:right w:val="nil"/>
          <w:between w:val="nil"/>
        </w:pBdr>
        <w:spacing w:line="240" w:lineRule="auto"/>
        <w:jc w:val="both"/>
        <w:rPr>
          <w:rFonts w:ascii="Poppins" w:hAnsi="Poppins" w:cs="Poppins"/>
          <w:b/>
          <w:bCs/>
          <w:color w:val="000000"/>
          <w:sz w:val="21"/>
          <w:szCs w:val="21"/>
          <w:shd w:val="clear" w:color="auto" w:fill="FFFFFF"/>
        </w:rPr>
      </w:pPr>
      <w:r w:rsidRPr="00C70A85">
        <w:rPr>
          <w:rFonts w:ascii="Poppins" w:hAnsi="Poppins" w:cs="Poppins"/>
          <w:b/>
          <w:bCs/>
          <w:color w:val="000000"/>
          <w:sz w:val="21"/>
          <w:szCs w:val="21"/>
          <w:shd w:val="clear" w:color="auto" w:fill="FFFFFF"/>
        </w:rPr>
        <w:t>Andrzej Gutowski, Dyrektor Sprzedaży RONSON Development</w:t>
      </w:r>
    </w:p>
    <w:p w14:paraId="360E7348" w14:textId="7777777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Sprzedaż mieszkań w pierwszym kwartale 2025 roku oceniamy jako porównywalną do wyników osiągniętych w IV kwartale 2024. Widać jednak coraz więcej sygnałów, że sytuacja na rynku w II kwartale może się stopniowo poprawiać. Niedawne wystąpienie prezesa NBP, miało wyraźnie „gołębi” charakter i zostało odebrane przez rynek jako zapowiedź zmiany dotychczasowej polityki. WIBOR zareagował natychmiast – jego istotny spadek pokazuje, że inwestorzy zaczynają dostrzegać realną szansę na obniżki stóp procentowych już w najbliższych miesiącach.</w:t>
      </w:r>
    </w:p>
    <w:p w14:paraId="6369581D" w14:textId="7777777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Dla rynku mieszkaniowego oznacza to potencjalnie przełomowy moment. Niższe stopy procentowe to lepsza dostępność kredytów hipotecznych, większa zdolność kredytowa klientów i – w konsekwencji – impuls do ożywienia popytu. Choć dziś trudno jeszcze mówić o pełnym odbiciu, widzimy światełko w tunelu. Rynkowi zaczynają sprzyjać czynniki, które przez długi czas go ograniczały – to dobry sygnał zarówno dla deweloperów, jak i dla klientów.</w:t>
      </w:r>
    </w:p>
    <w:p w14:paraId="798895A3" w14:textId="724107B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W drugi kwartał wchodzimy z pełnym zaangażowaniem. Na koniec kwietnia finalizujemy prace budowlane na osiedlu Nova Królikarnia, gdzie do sprzedaży pozostały już tylko 4 domy. W maju natomiast rozpoczynamy sprzedaż naszej nowej inwestycji we Wrocławiu, przy ul. Sobieskiego, oferującej atrakcyjne układy mieszkań – zarówno dwu-, jak i trzypokojowych.</w:t>
      </w:r>
    </w:p>
    <w:p w14:paraId="07E1977D" w14:textId="7777777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 xml:space="preserve">Po długim weekendzie majowym, startujemy z kolejnym ważnym projektem – sprzedażą drugiego etapu inwestycji „Zielono mi”. To wyjątkowa propozycja dla osób ceniących przestronność i bliskość natury. Oferujemy domy o powierzchni aż 250 m², które łączą komfort życia z ekologicznymi rozwiązaniami w ramach koncepcji miasta-ogrodu. W tym samym czasie rozpoczynamy również sprzedaż nowych domów w Nowych Warzymicach, które stanowią idealne rozwiązanie dla osób szukających spokoju i przestronności, jednocześnie wciąż blisko miasta. </w:t>
      </w:r>
    </w:p>
    <w:p w14:paraId="747D40E4" w14:textId="16195E03" w:rsidR="00C70A85" w:rsidRPr="00C70A85" w:rsidRDefault="00C70A85" w:rsidP="00C70A85">
      <w:pPr>
        <w:pBdr>
          <w:top w:val="nil"/>
          <w:left w:val="nil"/>
          <w:bottom w:val="nil"/>
          <w:right w:val="nil"/>
          <w:between w:val="nil"/>
        </w:pBdr>
        <w:spacing w:line="240" w:lineRule="auto"/>
        <w:jc w:val="both"/>
        <w:rPr>
          <w:rFonts w:ascii="Poppins" w:hAnsi="Poppins" w:cs="Poppins"/>
          <w:b/>
          <w:bCs/>
          <w:color w:val="000000"/>
          <w:sz w:val="21"/>
          <w:szCs w:val="21"/>
          <w:shd w:val="clear" w:color="auto" w:fill="FFFFFF"/>
        </w:rPr>
      </w:pPr>
      <w:r w:rsidRPr="00C70A85">
        <w:rPr>
          <w:rFonts w:ascii="Poppins" w:hAnsi="Poppins" w:cs="Poppins"/>
          <w:b/>
          <w:bCs/>
          <w:color w:val="000000"/>
          <w:sz w:val="21"/>
          <w:szCs w:val="21"/>
          <w:shd w:val="clear" w:color="auto" w:fill="FFFFFF"/>
        </w:rPr>
        <w:lastRenderedPageBreak/>
        <w:t xml:space="preserve">Wojciech Dąbrowski, </w:t>
      </w:r>
      <w:r>
        <w:rPr>
          <w:rFonts w:ascii="Poppins" w:hAnsi="Poppins" w:cs="Poppins"/>
          <w:b/>
          <w:bCs/>
          <w:color w:val="000000"/>
          <w:sz w:val="21"/>
          <w:szCs w:val="21"/>
          <w:shd w:val="clear" w:color="auto" w:fill="FFFFFF"/>
        </w:rPr>
        <w:t>K</w:t>
      </w:r>
      <w:r w:rsidRPr="00C70A85">
        <w:rPr>
          <w:rFonts w:ascii="Poppins" w:hAnsi="Poppins" w:cs="Poppins"/>
          <w:b/>
          <w:bCs/>
          <w:color w:val="000000"/>
          <w:sz w:val="21"/>
          <w:szCs w:val="21"/>
          <w:shd w:val="clear" w:color="auto" w:fill="FFFFFF"/>
        </w:rPr>
        <w:t xml:space="preserve">ierownik ds. </w:t>
      </w:r>
      <w:r>
        <w:rPr>
          <w:rFonts w:ascii="Poppins" w:hAnsi="Poppins" w:cs="Poppins"/>
          <w:b/>
          <w:bCs/>
          <w:color w:val="000000"/>
          <w:sz w:val="21"/>
          <w:szCs w:val="21"/>
          <w:shd w:val="clear" w:color="auto" w:fill="FFFFFF"/>
        </w:rPr>
        <w:t>S</w:t>
      </w:r>
      <w:r w:rsidRPr="00C70A85">
        <w:rPr>
          <w:rFonts w:ascii="Poppins" w:hAnsi="Poppins" w:cs="Poppins"/>
          <w:b/>
          <w:bCs/>
          <w:color w:val="000000"/>
          <w:sz w:val="21"/>
          <w:szCs w:val="21"/>
          <w:shd w:val="clear" w:color="auto" w:fill="FFFFFF"/>
        </w:rPr>
        <w:t>przedaży w Invest Komfort</w:t>
      </w:r>
    </w:p>
    <w:p w14:paraId="042F6AA9" w14:textId="7777777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W pierwszym kwartale 2025 roku odnotowaliśmy w Invest Komfort stabilny poziom sprzedaży, zgodny z naszymi założeniami. Po przewidywanym, sezonowym spadku aktywności zakupowej zimą, obserwujemy obecnie powrót do naturalnego rytmu tzw. cykli kwartalnych – spodziewamy się, że sprzedaż będzie rosła wraz z nadejściem lata i osiągnie szczyt w trzecim kwartale.</w:t>
      </w:r>
    </w:p>
    <w:p w14:paraId="2A1B8460" w14:textId="7777777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Zauważalna jest rosnąca świadomość klientów – coraz częściej mamy do czynienia z dojrzałymi decyzjami zakupowymi. Nasi klienci uważnie analizują sytuację gospodarczą, śledzą światowe i krajowe wydarzenia, reagują na zmiany stóp procentowych czy sygnały płynące z rynku finansowego. To grupa bardzo dobrze przygotowana, poszukująca nie tylko produktu wysokiej jakości, ale również długofalowej wartości.</w:t>
      </w:r>
    </w:p>
    <w:p w14:paraId="7CB22C71" w14:textId="7777777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Dążymy do dalszej stabilizacji tempa sprzedaży, jednocześnie wprowadzając do oferty wyjątkowe projekty, które odpowiadają na potrzeby świadomych nabywców. Realizujemy sprzedaż kluczowych inwestycji – Miasto GDY w centrum Gdyni oraz OFF Miasto w rewitalizowanym Dolnym Mieście w Gdańsku. Wprowadziliśmy mieszkania w standardzie MOVE IN. Niedługo do oferty dołączą również Legionów 121 w Gdyni oraz kolejny etap Wita 77.</w:t>
      </w:r>
    </w:p>
    <w:p w14:paraId="5A5FD586" w14:textId="77777777" w:rsidR="00C70A85" w:rsidRPr="00C70A85" w:rsidRDefault="00C70A85" w:rsidP="00C70A85">
      <w:pPr>
        <w:pBdr>
          <w:top w:val="nil"/>
          <w:left w:val="nil"/>
          <w:bottom w:val="nil"/>
          <w:right w:val="nil"/>
          <w:between w:val="nil"/>
        </w:pBdr>
        <w:spacing w:line="240" w:lineRule="auto"/>
        <w:jc w:val="both"/>
        <w:rPr>
          <w:rFonts w:ascii="Poppins" w:hAnsi="Poppins" w:cs="Poppins"/>
          <w:b/>
          <w:bCs/>
          <w:color w:val="000000"/>
          <w:sz w:val="21"/>
          <w:szCs w:val="21"/>
          <w:shd w:val="clear" w:color="auto" w:fill="FFFFFF"/>
        </w:rPr>
      </w:pPr>
      <w:r w:rsidRPr="00C70A85">
        <w:rPr>
          <w:rFonts w:ascii="Poppins" w:hAnsi="Poppins" w:cs="Poppins"/>
          <w:b/>
          <w:bCs/>
          <w:color w:val="000000"/>
          <w:sz w:val="21"/>
          <w:szCs w:val="21"/>
          <w:shd w:val="clear" w:color="auto" w:fill="FFFFFF"/>
        </w:rPr>
        <w:t xml:space="preserve">Piotr Ludwiński, Dyrektor Sprzedaży w </w:t>
      </w:r>
      <w:proofErr w:type="spellStart"/>
      <w:r w:rsidRPr="00C70A85">
        <w:rPr>
          <w:rFonts w:ascii="Poppins" w:hAnsi="Poppins" w:cs="Poppins"/>
          <w:b/>
          <w:bCs/>
          <w:color w:val="000000"/>
          <w:sz w:val="21"/>
          <w:szCs w:val="21"/>
          <w:shd w:val="clear" w:color="auto" w:fill="FFFFFF"/>
        </w:rPr>
        <w:t>Archicom</w:t>
      </w:r>
      <w:proofErr w:type="spellEnd"/>
    </w:p>
    <w:p w14:paraId="4906685C" w14:textId="298F53DE" w:rsidR="000C428F"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Pierwszy kwartał 2025 roku oceniamy bardzo pozytywnie – sprzedaliśmy 530 lokali, co oznacza blisko 30-procentowy wzrost w porównaniu do analogicznego okresu rok wcześniej. Taki wynik to efekt zarówno utrzymującego się popytu, jak i konsekwentnej rozbudowy oferty w kluczowych lokalizacjach – nie tylko we Wrocławiu, ale też w Krakowie, Łodzi czy Warszawie. Widzimy, że klienci chętniej podejmują decyzje zakupowe, szczególnie gdy inwestycje są dobrze skomunikowane, oferują zróżnicowane metraże i mają atrakcyjne otoczenie. W drugim kwartale spodziewamy się dalszego utrzymania tempa, również dzięki rosnącej liczbie przekazań – tylko w kwietniu oddajemy do użytkowania ponad 120 lokali. Przez cały 2025 rok planujemy przekazać ok. 2300 mieszkań, a większość z nich trafi do właścicieli w drugiej połowie roku. Dodatkowo uważnie obserwujemy zmieniające się preferencje klientów. Elastyczność i skala działania w ramach Grupy pozwalają nam na dalsze poszerzanie oferty oraz uruchamianie nowych projektów.</w:t>
      </w:r>
    </w:p>
    <w:p w14:paraId="7FD18DF7" w14:textId="77777777" w:rsidR="00B93CAA" w:rsidRPr="00C70A85" w:rsidRDefault="00B93CAA" w:rsidP="00B93CAA">
      <w:pPr>
        <w:pBdr>
          <w:top w:val="nil"/>
          <w:left w:val="nil"/>
          <w:bottom w:val="nil"/>
          <w:right w:val="nil"/>
          <w:between w:val="nil"/>
        </w:pBdr>
        <w:spacing w:line="240" w:lineRule="auto"/>
        <w:jc w:val="both"/>
        <w:rPr>
          <w:rFonts w:ascii="Poppins" w:hAnsi="Poppins" w:cs="Poppins"/>
          <w:b/>
          <w:bCs/>
          <w:color w:val="000000"/>
          <w:sz w:val="21"/>
          <w:szCs w:val="21"/>
          <w:shd w:val="clear" w:color="auto" w:fill="FFFFFF"/>
        </w:rPr>
      </w:pPr>
      <w:r w:rsidRPr="00C70A85">
        <w:rPr>
          <w:rFonts w:ascii="Poppins" w:hAnsi="Poppins" w:cs="Poppins"/>
          <w:b/>
          <w:bCs/>
          <w:color w:val="000000"/>
          <w:sz w:val="21"/>
          <w:szCs w:val="21"/>
          <w:shd w:val="clear" w:color="auto" w:fill="FFFFFF"/>
        </w:rPr>
        <w:t xml:space="preserve">Andrzej Gorgoń, Dyrektor ds. </w:t>
      </w:r>
      <w:r>
        <w:rPr>
          <w:rFonts w:ascii="Poppins" w:hAnsi="Poppins" w:cs="Poppins"/>
          <w:b/>
          <w:bCs/>
          <w:color w:val="000000"/>
          <w:sz w:val="21"/>
          <w:szCs w:val="21"/>
          <w:shd w:val="clear" w:color="auto" w:fill="FFFFFF"/>
        </w:rPr>
        <w:t>M</w:t>
      </w:r>
      <w:r w:rsidRPr="00C70A85">
        <w:rPr>
          <w:rFonts w:ascii="Poppins" w:hAnsi="Poppins" w:cs="Poppins"/>
          <w:b/>
          <w:bCs/>
          <w:color w:val="000000"/>
          <w:sz w:val="21"/>
          <w:szCs w:val="21"/>
          <w:shd w:val="clear" w:color="auto" w:fill="FFFFFF"/>
        </w:rPr>
        <w:t>arketingu YIT w Polsce</w:t>
      </w:r>
    </w:p>
    <w:p w14:paraId="2540281B" w14:textId="77777777" w:rsidR="00B93CAA" w:rsidRPr="00C70A85" w:rsidRDefault="00B93CAA" w:rsidP="00B93CAA">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Rynek nieruchomości niezmiennie pozostaje wrażliwy na wysokie koszty kredytów i niepewność regulacyjną, co również miało swoje odzwierciedlenie w pierwszym kwartale 2025 r. Początek roku to także czas, który klienci zwykle wykorzystują na przegląd ofert, co może wpływać na opóźnienie ich rozstrzygnięć dotyczących zakupu nieruchomości. Dlatego rynek może podchodzić do prognoz z pewną ostrożnością.</w:t>
      </w:r>
    </w:p>
    <w:p w14:paraId="294F5286" w14:textId="77777777" w:rsidR="00B93CAA" w:rsidRPr="00C70A85" w:rsidRDefault="00B93CAA" w:rsidP="00B93CAA">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lastRenderedPageBreak/>
        <w:t>Przewagą konkurencyjną YIT jest zróżnicowane portfolio inwestycji i atrakcyjne lokalizacje, które pozwalają stabilnie funkcjonować nawet w tak wymagającym otoczeniu rynkowym. Tworzymy zarówno mieszkania o podwyższonym standardzie i modne lofty, jak i funkcjonalne metraże dla rodzin. Atutem wszystkich naszych inwestycji jest wygodne usytuowanie na mapach polskich miast: Gdańska, Krakowa, Warszawy. Np. nasz krakowski projekt Portowa Zabłocie znajduje się w jednej z najdynamiczniej rozwijających się w ostatnim czasie krakowskich dzielnic, słynącej z industrialnego charakteru. W Gdańsku jesteśmy obecni w dzielnicy Młode Miasto, w sąsiedztwie Europejskiego Centrum Solidarności i Starego Miasta, nieopodal historycznej bramy Stoczni Gdańskiej. A w stolicy nasze osiedle jest tuż obok Parku Henrykowskiego, na terenie zabytkowej drożdżowni, w którą umiejętnie wkomponowaliśmy mieszkania.</w:t>
      </w:r>
    </w:p>
    <w:p w14:paraId="0D11D2D3" w14:textId="066D75CB" w:rsidR="00B93CAA" w:rsidRDefault="00B93CAA"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W YIT nie uzależniamy więc oferty od kolejnych kwartałów. O jej atrakcyjność dbamy przez cały czas, ściśle dopasowując się do potrzeb naszych klientów. Wiemy, jak ważna jest transakcja, którą chcą z nami przeprowadzić, dlatego zapewniamy im indywidualne podejście i wsparcie na każdym etapie zakupu.</w:t>
      </w:r>
    </w:p>
    <w:p w14:paraId="7EE1339F" w14:textId="7777777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b/>
          <w:bCs/>
          <w:color w:val="000000"/>
          <w:sz w:val="21"/>
          <w:szCs w:val="21"/>
          <w:shd w:val="clear" w:color="auto" w:fill="FFFFFF"/>
        </w:rPr>
        <w:t xml:space="preserve">Katarzyna </w:t>
      </w:r>
      <w:proofErr w:type="spellStart"/>
      <w:r w:rsidRPr="00C70A85">
        <w:rPr>
          <w:rFonts w:ascii="Poppins" w:hAnsi="Poppins" w:cs="Poppins"/>
          <w:b/>
          <w:bCs/>
          <w:color w:val="000000"/>
          <w:sz w:val="21"/>
          <w:szCs w:val="21"/>
          <w:shd w:val="clear" w:color="auto" w:fill="FFFFFF"/>
        </w:rPr>
        <w:t>Mirota</w:t>
      </w:r>
      <w:proofErr w:type="spellEnd"/>
      <w:r w:rsidRPr="00C70A85">
        <w:rPr>
          <w:rFonts w:ascii="Poppins" w:hAnsi="Poppins" w:cs="Poppins"/>
          <w:b/>
          <w:bCs/>
          <w:color w:val="000000"/>
          <w:sz w:val="21"/>
          <w:szCs w:val="21"/>
          <w:shd w:val="clear" w:color="auto" w:fill="FFFFFF"/>
        </w:rPr>
        <w:t xml:space="preserve">, </w:t>
      </w:r>
      <w:proofErr w:type="spellStart"/>
      <w:r w:rsidRPr="00C70A85">
        <w:rPr>
          <w:rFonts w:ascii="Poppins" w:hAnsi="Poppins" w:cs="Poppins"/>
          <w:b/>
          <w:bCs/>
          <w:color w:val="000000"/>
          <w:sz w:val="21"/>
          <w:szCs w:val="21"/>
          <w:shd w:val="clear" w:color="auto" w:fill="FFFFFF"/>
        </w:rPr>
        <w:t>Head</w:t>
      </w:r>
      <w:proofErr w:type="spellEnd"/>
      <w:r w:rsidRPr="00C70A85">
        <w:rPr>
          <w:rFonts w:ascii="Poppins" w:hAnsi="Poppins" w:cs="Poppins"/>
          <w:b/>
          <w:bCs/>
          <w:color w:val="000000"/>
          <w:sz w:val="21"/>
          <w:szCs w:val="21"/>
          <w:shd w:val="clear" w:color="auto" w:fill="FFFFFF"/>
        </w:rPr>
        <w:t xml:space="preserve"> of Sales &amp; Marketing, </w:t>
      </w:r>
      <w:proofErr w:type="spellStart"/>
      <w:r w:rsidRPr="00C70A85">
        <w:rPr>
          <w:rFonts w:ascii="Poppins" w:hAnsi="Poppins" w:cs="Poppins"/>
          <w:b/>
          <w:bCs/>
          <w:color w:val="000000"/>
          <w:sz w:val="21"/>
          <w:szCs w:val="21"/>
          <w:shd w:val="clear" w:color="auto" w:fill="FFFFFF"/>
        </w:rPr>
        <w:t>Matexi</w:t>
      </w:r>
      <w:proofErr w:type="spellEnd"/>
      <w:r w:rsidRPr="00C70A85">
        <w:rPr>
          <w:rFonts w:ascii="Poppins" w:hAnsi="Poppins" w:cs="Poppins"/>
          <w:b/>
          <w:bCs/>
          <w:color w:val="000000"/>
          <w:sz w:val="21"/>
          <w:szCs w:val="21"/>
          <w:shd w:val="clear" w:color="auto" w:fill="FFFFFF"/>
        </w:rPr>
        <w:t xml:space="preserve"> Polska</w:t>
      </w:r>
    </w:p>
    <w:p w14:paraId="2086459D" w14:textId="7777777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Zainteresowanie klientów zakupem mieszkań na rynku pierwotnym pozostaje stabilne, jednak obserwujemy wydłużenie procesu decyzyjnego, co sprawia, że finalizacja transakcji wymaga obecnie więcej czasu. Mimo to podtrzymujemy nasz tegoroczny cel sprzedaży 400-500 mieszkań klientom indywidualnym. W pierwszym kwartale 2025 r. zawarliśmy łącznie 71 umów deweloperskich. Wierzymy, że planowane na drugi kwartał wprowadzenie do sprzedaży dwóch nowych inwestycji pozwoli nam przyspieszyć tempo sprzedaży i odpowiedzieć na potrzeby rynku.</w:t>
      </w:r>
    </w:p>
    <w:p w14:paraId="5A294C69" w14:textId="7777777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Na obsługiwanych przez nas rynkach w Warszawie i Krakowie dostrzegamy stabilną równowagę między podażą a popytem. Szacujemy, że obecny poziom wyprzedaży oferty odpowiada sześciu kwartałom, co świadczy o zdrowej sytuacji rynkowej. Jednocześnie uważamy, że dalsze ożywienie sprzedaży mogłoby zostać wsparte przez odpowiednie działania systemowe. Potencjalne uruchomienie rządowego programu wsparcia z pewnością miałoby wpływ na rynek, jednak z naszej perspektywy większą wartość przyniosłyby rozwiązania skoncentrowane na stronie podażowej.</w:t>
      </w:r>
    </w:p>
    <w:p w14:paraId="7D6530B5" w14:textId="77777777" w:rsid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Obecnie jednym z głównych wyzwań pozostają ograniczona dostępność gruntów oraz długotrwałe i skomplikowane procedury administracyjne. Usprawnienie tych procesów, w tym szybsze uwalnianie terenów pod zabudowę i przyspieszenie procedur związanych z uzyskiwaniem pozwoleń na budowę, mogłoby znacząco poprawić warunki działalności deweloperów. W efekcie przełożyłoby się to na większą podaż mieszkań i ograniczenie presji na wzrost cen, co byłoby korzystne dla całego rynku.</w:t>
      </w:r>
    </w:p>
    <w:p w14:paraId="27672646" w14:textId="77777777" w:rsidR="00735D3F" w:rsidRPr="00735D3F" w:rsidRDefault="00735D3F" w:rsidP="00735D3F">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735D3F">
        <w:rPr>
          <w:rFonts w:ascii="Poppins" w:hAnsi="Poppins" w:cs="Poppins"/>
          <w:b/>
          <w:bCs/>
          <w:color w:val="000000"/>
          <w:sz w:val="21"/>
          <w:szCs w:val="21"/>
          <w:shd w:val="clear" w:color="auto" w:fill="FFFFFF"/>
        </w:rPr>
        <w:t>Grzegorz Smoliński, Członek Zarządu Dom Development</w:t>
      </w:r>
    </w:p>
    <w:p w14:paraId="3B340A25" w14:textId="77777777" w:rsidR="00735D3F" w:rsidRPr="00735D3F" w:rsidRDefault="00735D3F" w:rsidP="00735D3F">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735D3F">
        <w:rPr>
          <w:rFonts w:ascii="Poppins" w:hAnsi="Poppins" w:cs="Poppins"/>
          <w:color w:val="000000"/>
          <w:sz w:val="21"/>
          <w:szCs w:val="21"/>
          <w:shd w:val="clear" w:color="auto" w:fill="FFFFFF"/>
        </w:rPr>
        <w:t xml:space="preserve">Początek 2025 roku przyniósł kontynuację trendów widocznych pod koniec poprzedniego roku, w tym stabilizację cen mieszkań na rynku pierwotnym. Było to </w:t>
      </w:r>
      <w:r w:rsidRPr="00735D3F">
        <w:rPr>
          <w:rFonts w:ascii="Poppins" w:hAnsi="Poppins" w:cs="Poppins"/>
          <w:color w:val="000000"/>
          <w:sz w:val="21"/>
          <w:szCs w:val="21"/>
          <w:shd w:val="clear" w:color="auto" w:fill="FFFFFF"/>
        </w:rPr>
        <w:lastRenderedPageBreak/>
        <w:t>efektem zwiększającej się z każdym kwartałem oferty mieszkań. Jednocześnie Rada Polityki Pieniężnej utrzymała poziom stóp procentowych, co powoduje, że kredyty hipoteczne w Polsce nadal należą do najdroższych w Unii Europejskiej.</w:t>
      </w:r>
    </w:p>
    <w:p w14:paraId="5676088E" w14:textId="77777777" w:rsidR="00735D3F" w:rsidRPr="00735D3F" w:rsidRDefault="00735D3F" w:rsidP="00735D3F">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735D3F">
        <w:rPr>
          <w:rFonts w:ascii="Poppins" w:hAnsi="Poppins" w:cs="Poppins"/>
          <w:color w:val="000000"/>
          <w:sz w:val="21"/>
          <w:szCs w:val="21"/>
          <w:shd w:val="clear" w:color="auto" w:fill="FFFFFF"/>
        </w:rPr>
        <w:t>Mimo wymagających warunków rynkowych konsekwentnie realizujemy nasze cele sprzedażowe. Potwierdziliśmy to już w ubiegłym roku, osiągając rekordowy poziom sprzedaży mieszkań, a w 2025 roku utrzymujemy ten trend – w pierwszym kwartale znaleźliśmy nabywców na 1 033 lokale.</w:t>
      </w:r>
    </w:p>
    <w:p w14:paraId="093304A2" w14:textId="77777777" w:rsidR="00735D3F" w:rsidRPr="00735D3F" w:rsidRDefault="00735D3F" w:rsidP="00735D3F">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735D3F">
        <w:rPr>
          <w:rFonts w:ascii="Poppins" w:hAnsi="Poppins" w:cs="Poppins"/>
          <w:color w:val="000000"/>
          <w:sz w:val="21"/>
          <w:szCs w:val="21"/>
          <w:shd w:val="clear" w:color="auto" w:fill="FFFFFF"/>
        </w:rPr>
        <w:t xml:space="preserve">W tym okresie największym zainteresowaniem klientów cieszyły się: Dzielnica Mieszkaniowa Metro Zachód, Osiedle Wilno i Osiedle Urbino w Warszawie, Konstelacja oraz Osiedle przy Błoniach w Trójmieście, </w:t>
      </w:r>
      <w:proofErr w:type="spellStart"/>
      <w:r w:rsidRPr="00735D3F">
        <w:rPr>
          <w:rFonts w:ascii="Poppins" w:hAnsi="Poppins" w:cs="Poppins"/>
          <w:color w:val="000000"/>
          <w:sz w:val="21"/>
          <w:szCs w:val="21"/>
          <w:shd w:val="clear" w:color="auto" w:fill="FFFFFF"/>
        </w:rPr>
        <w:t>Hubska</w:t>
      </w:r>
      <w:proofErr w:type="spellEnd"/>
      <w:r w:rsidRPr="00735D3F">
        <w:rPr>
          <w:rFonts w:ascii="Poppins" w:hAnsi="Poppins" w:cs="Poppins"/>
          <w:color w:val="000000"/>
          <w:sz w:val="21"/>
          <w:szCs w:val="21"/>
          <w:shd w:val="clear" w:color="auto" w:fill="FFFFFF"/>
        </w:rPr>
        <w:t xml:space="preserve"> 100, Osiedle Międzyleska i </w:t>
      </w:r>
      <w:proofErr w:type="spellStart"/>
      <w:r w:rsidRPr="00735D3F">
        <w:rPr>
          <w:rFonts w:ascii="Poppins" w:hAnsi="Poppins" w:cs="Poppins"/>
          <w:color w:val="000000"/>
          <w:sz w:val="21"/>
          <w:szCs w:val="21"/>
          <w:shd w:val="clear" w:color="auto" w:fill="FFFFFF"/>
        </w:rPr>
        <w:t>Braniborska</w:t>
      </w:r>
      <w:proofErr w:type="spellEnd"/>
      <w:r w:rsidRPr="00735D3F">
        <w:rPr>
          <w:rFonts w:ascii="Poppins" w:hAnsi="Poppins" w:cs="Poppins"/>
          <w:color w:val="000000"/>
          <w:sz w:val="21"/>
          <w:szCs w:val="21"/>
          <w:shd w:val="clear" w:color="auto" w:fill="FFFFFF"/>
        </w:rPr>
        <w:t xml:space="preserve"> 80 we Wrocławiu, a także Osiedle Mieszkaniowe Górka Narodowa w Krakowie.</w:t>
      </w:r>
    </w:p>
    <w:p w14:paraId="768644B6" w14:textId="71B6888C" w:rsidR="00735D3F" w:rsidRPr="00C70A85" w:rsidRDefault="00735D3F"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735D3F">
        <w:rPr>
          <w:rFonts w:ascii="Poppins" w:hAnsi="Poppins" w:cs="Poppins"/>
          <w:color w:val="000000"/>
          <w:sz w:val="21"/>
          <w:szCs w:val="21"/>
          <w:shd w:val="clear" w:color="auto" w:fill="FFFFFF"/>
        </w:rPr>
        <w:t>Dzięki sprawnemu uruchamianiu nowych projektów oraz szerokiej i zróżnicowanej ofercie dysponujemy dużym potencjałem do dalszego rozwoju. Jesteśmy dobrze przygotowani, aby rok 2025 był dla Spółki lepszym od 2024, a długo wyczekiwane rozpoczęcie cyklu obniżek stóp procentowych może dodatkowo pobudzić popyt i ułatwić realizację naszych założeń</w:t>
      </w:r>
    </w:p>
    <w:p w14:paraId="6486CFAA" w14:textId="0C334B72"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b/>
          <w:bCs/>
          <w:color w:val="000000"/>
          <w:sz w:val="21"/>
          <w:szCs w:val="21"/>
          <w:shd w:val="clear" w:color="auto" w:fill="FFFFFF"/>
        </w:rPr>
        <w:t xml:space="preserve">Adam Urbański, Dyrektor Sprzedaży TDJ </w:t>
      </w:r>
      <w:proofErr w:type="spellStart"/>
      <w:r w:rsidRPr="00C70A85">
        <w:rPr>
          <w:rFonts w:ascii="Poppins" w:hAnsi="Poppins" w:cs="Poppins"/>
          <w:b/>
          <w:bCs/>
          <w:color w:val="000000"/>
          <w:sz w:val="21"/>
          <w:szCs w:val="21"/>
          <w:shd w:val="clear" w:color="auto" w:fill="FFFFFF"/>
        </w:rPr>
        <w:t>Estate</w:t>
      </w:r>
      <w:proofErr w:type="spellEnd"/>
    </w:p>
    <w:p w14:paraId="12269E0E" w14:textId="074684F6"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 xml:space="preserve">Sprzedaż mieszkań w I kwartale 2025 r. – zgodnie z naszymi przewidywaniami – utrzymała się na poziomie zbliżonym do wyników wypracowanych przez TDJ </w:t>
      </w:r>
      <w:proofErr w:type="spellStart"/>
      <w:r w:rsidRPr="00C70A85">
        <w:rPr>
          <w:rFonts w:ascii="Poppins" w:hAnsi="Poppins" w:cs="Poppins"/>
          <w:color w:val="000000"/>
          <w:sz w:val="21"/>
          <w:szCs w:val="21"/>
          <w:shd w:val="clear" w:color="auto" w:fill="FFFFFF"/>
        </w:rPr>
        <w:t>Estate</w:t>
      </w:r>
      <w:proofErr w:type="spellEnd"/>
      <w:r w:rsidRPr="00C70A85">
        <w:rPr>
          <w:rFonts w:ascii="Poppins" w:hAnsi="Poppins" w:cs="Poppins"/>
          <w:color w:val="000000"/>
          <w:sz w:val="21"/>
          <w:szCs w:val="21"/>
          <w:shd w:val="clear" w:color="auto" w:fill="FFFFFF"/>
        </w:rPr>
        <w:t xml:space="preserve"> w IV kwartale 2024 r. Podobnie jak w drugiej połowie 2024 r., główną grupę nabywców stanowili klienci kupujący mieszkania na własne potrzeby. Jednocześnie obserwujemy wzrost popytu na nieruchomości wśród inwestorów. Znaczącą część wszystkich transakcji stanowią transakcje gotówkowe lub z wykorzystaniem kredytu jako formy uzupełniającego finansowania.</w:t>
      </w:r>
    </w:p>
    <w:p w14:paraId="457DBE99" w14:textId="48936C0D"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W II kwartale 2025 r. koncentrujemy się na finalizacji III etapu inwestycji Zielona Dolina. To kluczowy moment – mieszkania są już niemal gotowe do odbioru, co daje klientom możliwość obejrzenia lokalu przed zakupem oraz szybkiego wprowadzenia się. W kontekście kosztów finansowania i planowania budżetu, taka możliwość jest niezwykle cenna.</w:t>
      </w:r>
    </w:p>
    <w:p w14:paraId="0405D25F" w14:textId="7777777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W nadchodzących miesiącach planujemy także uruchomienie dwóch nowych inwestycji. Pierwsza z nich powstanie w południowej części Katowic i wyróżniać się będzie nowoczesną, nietuzinkową architekturą, starannie zaprojektowanymi przestrzeniami wspólnymi oraz dużymi apartamentami z przestronnymi tarasami na najwyższych kondygnacjach. Druga inwestycja to projekt zlokalizowany w północnej części Krakowa. W ramach I etapu oferujemy szeroką gamę lokali – od kompaktowych kawalerek po przestronne mieszkania czteropokojowe, a także lokale usługowe. Integralnym elementem osiedla będzie realizowany równolegle park linearny, stanowiący zielone zaplecze rekreacyjne dla przyszłych mieszkańców.</w:t>
      </w:r>
    </w:p>
    <w:p w14:paraId="5E55C921" w14:textId="0DDA8539"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b/>
          <w:bCs/>
          <w:color w:val="000000"/>
          <w:sz w:val="21"/>
          <w:szCs w:val="21"/>
          <w:shd w:val="clear" w:color="auto" w:fill="FFFFFF"/>
        </w:rPr>
        <w:lastRenderedPageBreak/>
        <w:t xml:space="preserve">Tomasz Kaleta, </w:t>
      </w:r>
      <w:r>
        <w:rPr>
          <w:rFonts w:ascii="Poppins" w:hAnsi="Poppins" w:cs="Poppins"/>
          <w:b/>
          <w:bCs/>
          <w:color w:val="000000"/>
          <w:sz w:val="21"/>
          <w:szCs w:val="21"/>
          <w:shd w:val="clear" w:color="auto" w:fill="FFFFFF"/>
        </w:rPr>
        <w:t>D</w:t>
      </w:r>
      <w:r w:rsidRPr="00C70A85">
        <w:rPr>
          <w:rFonts w:ascii="Poppins" w:hAnsi="Poppins" w:cs="Poppins"/>
          <w:b/>
          <w:bCs/>
          <w:color w:val="000000"/>
          <w:sz w:val="21"/>
          <w:szCs w:val="21"/>
          <w:shd w:val="clear" w:color="auto" w:fill="FFFFFF"/>
        </w:rPr>
        <w:t xml:space="preserve">yrektor </w:t>
      </w:r>
      <w:r>
        <w:rPr>
          <w:rFonts w:ascii="Poppins" w:hAnsi="Poppins" w:cs="Poppins"/>
          <w:b/>
          <w:bCs/>
          <w:color w:val="000000"/>
          <w:sz w:val="21"/>
          <w:szCs w:val="21"/>
          <w:shd w:val="clear" w:color="auto" w:fill="FFFFFF"/>
        </w:rPr>
        <w:t>Z</w:t>
      </w:r>
      <w:r w:rsidRPr="00C70A85">
        <w:rPr>
          <w:rFonts w:ascii="Poppins" w:hAnsi="Poppins" w:cs="Poppins"/>
          <w:b/>
          <w:bCs/>
          <w:color w:val="000000"/>
          <w:sz w:val="21"/>
          <w:szCs w:val="21"/>
          <w:shd w:val="clear" w:color="auto" w:fill="FFFFFF"/>
        </w:rPr>
        <w:t xml:space="preserve">arządzający ds. </w:t>
      </w:r>
      <w:r>
        <w:rPr>
          <w:rFonts w:ascii="Poppins" w:hAnsi="Poppins" w:cs="Poppins"/>
          <w:b/>
          <w:bCs/>
          <w:color w:val="000000"/>
          <w:sz w:val="21"/>
          <w:szCs w:val="21"/>
          <w:shd w:val="clear" w:color="auto" w:fill="FFFFFF"/>
        </w:rPr>
        <w:t>S</w:t>
      </w:r>
      <w:r w:rsidRPr="00C70A85">
        <w:rPr>
          <w:rFonts w:ascii="Poppins" w:hAnsi="Poppins" w:cs="Poppins"/>
          <w:b/>
          <w:bCs/>
          <w:color w:val="000000"/>
          <w:sz w:val="21"/>
          <w:szCs w:val="21"/>
          <w:shd w:val="clear" w:color="auto" w:fill="FFFFFF"/>
        </w:rPr>
        <w:t xml:space="preserve">przedaży i </w:t>
      </w:r>
      <w:r>
        <w:rPr>
          <w:rFonts w:ascii="Poppins" w:hAnsi="Poppins" w:cs="Poppins"/>
          <w:b/>
          <w:bCs/>
          <w:color w:val="000000"/>
          <w:sz w:val="21"/>
          <w:szCs w:val="21"/>
          <w:shd w:val="clear" w:color="auto" w:fill="FFFFFF"/>
        </w:rPr>
        <w:t>M</w:t>
      </w:r>
      <w:r w:rsidRPr="00C70A85">
        <w:rPr>
          <w:rFonts w:ascii="Poppins" w:hAnsi="Poppins" w:cs="Poppins"/>
          <w:b/>
          <w:bCs/>
          <w:color w:val="000000"/>
          <w:sz w:val="21"/>
          <w:szCs w:val="21"/>
          <w:shd w:val="clear" w:color="auto" w:fill="FFFFFF"/>
        </w:rPr>
        <w:t xml:space="preserve">arketingu w </w:t>
      </w:r>
      <w:proofErr w:type="spellStart"/>
      <w:r w:rsidRPr="00C70A85">
        <w:rPr>
          <w:rFonts w:ascii="Poppins" w:hAnsi="Poppins" w:cs="Poppins"/>
          <w:b/>
          <w:bCs/>
          <w:color w:val="000000"/>
          <w:sz w:val="21"/>
          <w:szCs w:val="21"/>
          <w:shd w:val="clear" w:color="auto" w:fill="FFFFFF"/>
        </w:rPr>
        <w:t>Develii</w:t>
      </w:r>
      <w:proofErr w:type="spellEnd"/>
      <w:r w:rsidRPr="00C70A85">
        <w:rPr>
          <w:rFonts w:ascii="Poppins" w:hAnsi="Poppins" w:cs="Poppins"/>
          <w:b/>
          <w:bCs/>
          <w:color w:val="000000"/>
          <w:sz w:val="21"/>
          <w:szCs w:val="21"/>
          <w:shd w:val="clear" w:color="auto" w:fill="FFFFFF"/>
        </w:rPr>
        <w:t>  </w:t>
      </w:r>
    </w:p>
    <w:p w14:paraId="1C11E583" w14:textId="7777777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Pierwszy kwartał 2025 roku zamykamy bardzo dobrym wynikiem – sprzedaliśmy 951 mieszkań na podstawie umów deweloperskich i przedwstępnych wobec 1038 w analogicznym okresie 2024 roku. Choć oznacza to spadek o 8% rok do roku, w porównaniu z III i IV kwartałem ubiegłego roku odnotowaliśmy wzrost. Mimo braku rządowego programu wsparcia oraz utrzymujących się wysokich stóp procentowych, sprzedaż pozostaje stabilna, a nawet wykazuje lekki trend wzrostowy. </w:t>
      </w:r>
    </w:p>
    <w:p w14:paraId="759E82FE" w14:textId="7777777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Obserwujemy również rosnący popyt ze strony klientów kredytowych – według danych Biura Informacji Kredytowej, w marcu br. o kredyt mieszkaniowy wnioskowało łącznie 36,9 tys. osób, co stanowi najwyższy wynik od stycznia 2024 roku. Spodziewamy się, że czynnikiem wspierającym rynek nieruchomości mieszkaniowych w kolejnych kwartałach będzie prognozowana obniżka stóp procentowych, które nadal należą do najwyższych w Europie.</w:t>
      </w:r>
    </w:p>
    <w:p w14:paraId="5D143126" w14:textId="7777777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 xml:space="preserve">W drugim kwartale br. planujemy wprowadzić do sprzedaży dwie nowe inwestycje: Przy Parku Vita we Wrocławiu i Trzcinowa Vita w Warszawie, a także kolejne etapy realizowanych już projektów: City </w:t>
      </w:r>
      <w:proofErr w:type="spellStart"/>
      <w:r w:rsidRPr="00C70A85">
        <w:rPr>
          <w:rFonts w:ascii="Poppins" w:hAnsi="Poppins" w:cs="Poppins"/>
          <w:color w:val="000000"/>
          <w:sz w:val="21"/>
          <w:szCs w:val="21"/>
          <w:shd w:val="clear" w:color="auto" w:fill="FFFFFF"/>
        </w:rPr>
        <w:t>Vibe</w:t>
      </w:r>
      <w:proofErr w:type="spellEnd"/>
      <w:r w:rsidRPr="00C70A85">
        <w:rPr>
          <w:rFonts w:ascii="Poppins" w:hAnsi="Poppins" w:cs="Poppins"/>
          <w:color w:val="000000"/>
          <w:sz w:val="21"/>
          <w:szCs w:val="21"/>
          <w:shd w:val="clear" w:color="auto" w:fill="FFFFFF"/>
        </w:rPr>
        <w:t xml:space="preserve"> w Krakowie, Orawska Vita i WUWA Vita we Wrocławiu oraz Ceglana Park w Katowicach.</w:t>
      </w:r>
    </w:p>
    <w:p w14:paraId="1633B0D8" w14:textId="4BD74208"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b/>
          <w:bCs/>
          <w:color w:val="000000"/>
          <w:sz w:val="21"/>
          <w:szCs w:val="21"/>
          <w:shd w:val="clear" w:color="auto" w:fill="FFFFFF"/>
        </w:rPr>
        <w:t xml:space="preserve">Justyna Hamrol-Wasielewska, Dyrektor Sprzedaży i Marketingu, Eiffage </w:t>
      </w:r>
      <w:proofErr w:type="spellStart"/>
      <w:r w:rsidRPr="00C70A85">
        <w:rPr>
          <w:rFonts w:ascii="Poppins" w:hAnsi="Poppins" w:cs="Poppins"/>
          <w:b/>
          <w:bCs/>
          <w:color w:val="000000"/>
          <w:sz w:val="21"/>
          <w:szCs w:val="21"/>
          <w:shd w:val="clear" w:color="auto" w:fill="FFFFFF"/>
        </w:rPr>
        <w:t>Immobilier</w:t>
      </w:r>
      <w:proofErr w:type="spellEnd"/>
      <w:r w:rsidRPr="00C70A85">
        <w:rPr>
          <w:rFonts w:ascii="Poppins" w:hAnsi="Poppins" w:cs="Poppins"/>
          <w:b/>
          <w:bCs/>
          <w:color w:val="000000"/>
          <w:sz w:val="21"/>
          <w:szCs w:val="21"/>
          <w:shd w:val="clear" w:color="auto" w:fill="FFFFFF"/>
        </w:rPr>
        <w:t xml:space="preserve"> Polska</w:t>
      </w:r>
      <w:r w:rsidRPr="00C70A85">
        <w:rPr>
          <w:rFonts w:ascii="Poppins" w:hAnsi="Poppins" w:cs="Poppins"/>
          <w:color w:val="000000"/>
          <w:sz w:val="21"/>
          <w:szCs w:val="21"/>
          <w:shd w:val="clear" w:color="auto" w:fill="FFFFFF"/>
        </w:rPr>
        <w:br/>
      </w:r>
      <w:r>
        <w:rPr>
          <w:rFonts w:ascii="Poppins" w:hAnsi="Poppins" w:cs="Poppins"/>
          <w:color w:val="000000"/>
          <w:sz w:val="21"/>
          <w:szCs w:val="21"/>
          <w:shd w:val="clear" w:color="auto" w:fill="FFFFFF"/>
        </w:rPr>
        <w:br/>
      </w:r>
      <w:r w:rsidRPr="00C70A85">
        <w:rPr>
          <w:rFonts w:ascii="Poppins" w:hAnsi="Poppins" w:cs="Poppins"/>
          <w:color w:val="000000"/>
          <w:sz w:val="21"/>
          <w:szCs w:val="21"/>
          <w:shd w:val="clear" w:color="auto" w:fill="FFFFFF"/>
        </w:rPr>
        <w:t>Porównując dane 1 kwartału rok do roku, możemy mówić o podobnych wynikach sprzedażowych, z tą różnicą, że 1 kwartał 2025 roku cechuje większy wzrost sprzedaży odnotowywany z miesiąca na miesiąc. Obserwujemy, że rynek nabiera tempa, co stanowi dobry prognostyk na kolejne kwartały. Choć otoczenie rynkowe jest wymagające, to spodziewane rozpoczęcie cyklu obniżek stóp procentowych powinno stopniowo aktywizować klientów.</w:t>
      </w:r>
    </w:p>
    <w:p w14:paraId="6A83B032" w14:textId="79C4F1E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b/>
          <w:bCs/>
          <w:color w:val="000000"/>
          <w:sz w:val="21"/>
          <w:szCs w:val="21"/>
          <w:shd w:val="clear" w:color="auto" w:fill="FFFFFF"/>
        </w:rPr>
        <w:t xml:space="preserve">Małgorzata Wiśniewska, Dyrektor Sprzedaży w </w:t>
      </w:r>
      <w:proofErr w:type="spellStart"/>
      <w:r w:rsidRPr="00C70A85">
        <w:rPr>
          <w:rFonts w:ascii="Poppins" w:hAnsi="Poppins" w:cs="Poppins"/>
          <w:b/>
          <w:bCs/>
          <w:color w:val="000000"/>
          <w:sz w:val="21"/>
          <w:szCs w:val="21"/>
          <w:shd w:val="clear" w:color="auto" w:fill="FFFFFF"/>
        </w:rPr>
        <w:t>Cordia</w:t>
      </w:r>
      <w:proofErr w:type="spellEnd"/>
      <w:r w:rsidRPr="00C70A85">
        <w:rPr>
          <w:rFonts w:ascii="Poppins" w:hAnsi="Poppins" w:cs="Poppins"/>
          <w:b/>
          <w:bCs/>
          <w:color w:val="000000"/>
          <w:sz w:val="21"/>
          <w:szCs w:val="21"/>
          <w:shd w:val="clear" w:color="auto" w:fill="FFFFFF"/>
        </w:rPr>
        <w:t xml:space="preserve"> Polska</w:t>
      </w:r>
    </w:p>
    <w:p w14:paraId="245CB76E" w14:textId="13811ED6"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Sprzedaż mieszkań w I kwartale oceniamy dobrze. Utrzymywała się na stabilnym poziomie, a nam udało się zrealizować założone cele w większości naszych projektów. Kluczowym czynnikiem wpływającym na popyt, a więc i poziom sprzedaży pozostaje oczywiście dostępność kredytów hipotecznych, silnie powiązana z poziomem stóp procentowych. Ponieważ w tym zakresie nic się nie zmieniło i nie było tak wyczekiwanej decyzji ze strony RPP, udział klientów kredytowych w rynku pozostaje mocno ograniczony.</w:t>
      </w:r>
    </w:p>
    <w:p w14:paraId="13F5B455" w14:textId="77777777" w:rsid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 xml:space="preserve">Na drugi kwartał 2025 roku mamy zaplanowany m.in. start kolejnej budowy w Gdańsku. Będziemy też przygotowywać kilka warszawskich projektów, które zamierzamy uruchomić w najbliższych miesiącach. Na nadchodzący kwartał spoglądamy z optymizmem. Ostatnie wypowiedzi RPP pozwalają spodziewać się luzowania polityki pieniężnej, co jest bardzo dobrą wiadomością dla rozważających zakup mieszkania na </w:t>
      </w:r>
      <w:r w:rsidRPr="00C70A85">
        <w:rPr>
          <w:rFonts w:ascii="Poppins" w:hAnsi="Poppins" w:cs="Poppins"/>
          <w:color w:val="000000"/>
          <w:sz w:val="21"/>
          <w:szCs w:val="21"/>
          <w:shd w:val="clear" w:color="auto" w:fill="FFFFFF"/>
        </w:rPr>
        <w:lastRenderedPageBreak/>
        <w:t>kredyt. W związku z tym liczymy na dalszą stabilizację rynku oraz istotne obniżki stóp procentowych, które według zapowiedzi RPP już w 2026 r. mogą spaść z 5,75% do 3,5%. To z pewnością przełoży się na wzrost popytu.</w:t>
      </w:r>
    </w:p>
    <w:p w14:paraId="183CE4F7" w14:textId="77777777" w:rsidR="00C70A85" w:rsidRPr="00C70A85" w:rsidRDefault="00C70A85" w:rsidP="00C70A85">
      <w:pPr>
        <w:pBdr>
          <w:top w:val="nil"/>
          <w:left w:val="nil"/>
          <w:bottom w:val="nil"/>
          <w:right w:val="nil"/>
          <w:between w:val="nil"/>
        </w:pBdr>
        <w:spacing w:line="240" w:lineRule="auto"/>
        <w:jc w:val="both"/>
        <w:rPr>
          <w:rFonts w:ascii="Poppins" w:hAnsi="Poppins" w:cs="Poppins"/>
          <w:b/>
          <w:bCs/>
          <w:color w:val="000000"/>
          <w:sz w:val="21"/>
          <w:szCs w:val="21"/>
          <w:shd w:val="clear" w:color="auto" w:fill="FFFFFF"/>
        </w:rPr>
      </w:pPr>
      <w:r w:rsidRPr="00C70A85">
        <w:rPr>
          <w:rFonts w:ascii="Poppins" w:hAnsi="Poppins" w:cs="Poppins"/>
          <w:b/>
          <w:bCs/>
          <w:color w:val="000000"/>
          <w:sz w:val="21"/>
          <w:szCs w:val="21"/>
          <w:shd w:val="clear" w:color="auto" w:fill="FFFFFF"/>
        </w:rPr>
        <w:t xml:space="preserve">Edyta Kołodziej, </w:t>
      </w:r>
      <w:r>
        <w:rPr>
          <w:rFonts w:ascii="Poppins" w:hAnsi="Poppins" w:cs="Poppins"/>
          <w:b/>
          <w:bCs/>
          <w:color w:val="000000"/>
          <w:sz w:val="21"/>
          <w:szCs w:val="21"/>
          <w:shd w:val="clear" w:color="auto" w:fill="FFFFFF"/>
        </w:rPr>
        <w:t>D</w:t>
      </w:r>
      <w:r w:rsidRPr="00C70A85">
        <w:rPr>
          <w:rFonts w:ascii="Poppins" w:hAnsi="Poppins" w:cs="Poppins"/>
          <w:b/>
          <w:bCs/>
          <w:color w:val="000000"/>
          <w:sz w:val="21"/>
          <w:szCs w:val="21"/>
          <w:shd w:val="clear" w:color="auto" w:fill="FFFFFF"/>
        </w:rPr>
        <w:t xml:space="preserve">yrektor </w:t>
      </w:r>
      <w:r>
        <w:rPr>
          <w:rFonts w:ascii="Poppins" w:hAnsi="Poppins" w:cs="Poppins"/>
          <w:b/>
          <w:bCs/>
          <w:color w:val="000000"/>
          <w:sz w:val="21"/>
          <w:szCs w:val="21"/>
          <w:shd w:val="clear" w:color="auto" w:fill="FFFFFF"/>
        </w:rPr>
        <w:t>S</w:t>
      </w:r>
      <w:r w:rsidRPr="00C70A85">
        <w:rPr>
          <w:rFonts w:ascii="Poppins" w:hAnsi="Poppins" w:cs="Poppins"/>
          <w:b/>
          <w:bCs/>
          <w:color w:val="000000"/>
          <w:sz w:val="21"/>
          <w:szCs w:val="21"/>
          <w:shd w:val="clear" w:color="auto" w:fill="FFFFFF"/>
        </w:rPr>
        <w:t xml:space="preserve">przedaży i </w:t>
      </w:r>
      <w:r>
        <w:rPr>
          <w:rFonts w:ascii="Poppins" w:hAnsi="Poppins" w:cs="Poppins"/>
          <w:b/>
          <w:bCs/>
          <w:color w:val="000000"/>
          <w:sz w:val="21"/>
          <w:szCs w:val="21"/>
          <w:shd w:val="clear" w:color="auto" w:fill="FFFFFF"/>
        </w:rPr>
        <w:t>M</w:t>
      </w:r>
      <w:r w:rsidRPr="00C70A85">
        <w:rPr>
          <w:rFonts w:ascii="Poppins" w:hAnsi="Poppins" w:cs="Poppins"/>
          <w:b/>
          <w:bCs/>
          <w:color w:val="000000"/>
          <w:sz w:val="21"/>
          <w:szCs w:val="21"/>
          <w:shd w:val="clear" w:color="auto" w:fill="FFFFFF"/>
        </w:rPr>
        <w:t>arketingu w NICKEL Development</w:t>
      </w:r>
    </w:p>
    <w:p w14:paraId="73288908" w14:textId="14206959"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 xml:space="preserve">Ostatnie miesiące na rynku mieszkaniowym w Poznaniu i całej Polsce przyniosły wyraźne sygnały stabilizacji. Dynamika wzrostu cen wyhamowała (według </w:t>
      </w:r>
      <w:proofErr w:type="spellStart"/>
      <w:r w:rsidRPr="00C70A85">
        <w:rPr>
          <w:rFonts w:ascii="Poppins" w:hAnsi="Poppins" w:cs="Poppins"/>
          <w:color w:val="000000"/>
          <w:sz w:val="21"/>
          <w:szCs w:val="21"/>
          <w:shd w:val="clear" w:color="auto" w:fill="FFFFFF"/>
        </w:rPr>
        <w:t>Otodom</w:t>
      </w:r>
      <w:proofErr w:type="spellEnd"/>
      <w:r w:rsidRPr="00C70A85">
        <w:rPr>
          <w:rFonts w:ascii="Poppins" w:hAnsi="Poppins" w:cs="Poppins"/>
          <w:color w:val="000000"/>
          <w:sz w:val="21"/>
          <w:szCs w:val="21"/>
          <w:shd w:val="clear" w:color="auto" w:fill="FFFFFF"/>
        </w:rPr>
        <w:t xml:space="preserve"> Analytics w styczniu </w:t>
      </w:r>
      <w:hyperlink r:id="rId9" w:history="1">
        <w:r w:rsidRPr="00D353BF">
          <w:rPr>
            <w:rStyle w:val="Hipercze"/>
            <w:rFonts w:ascii="Poppins" w:hAnsi="Poppins" w:cs="Poppins"/>
            <w:sz w:val="21"/>
            <w:szCs w:val="21"/>
            <w:shd w:val="clear" w:color="auto" w:fill="FFFFFF"/>
          </w:rPr>
          <w:t>średnia cena za m2</w:t>
        </w:r>
      </w:hyperlink>
      <w:r w:rsidRPr="00C70A85">
        <w:rPr>
          <w:rFonts w:ascii="Poppins" w:hAnsi="Poppins" w:cs="Poppins"/>
          <w:color w:val="000000"/>
          <w:sz w:val="21"/>
          <w:szCs w:val="21"/>
          <w:shd w:val="clear" w:color="auto" w:fill="FFFFFF"/>
        </w:rPr>
        <w:t xml:space="preserve"> mieszkania na rynku pierwotnym wyniosła 12 668 zł i była o 0,4% niższa niż w grudniu 2024 r.) a popyt dostosowuje się do nowych warunków. </w:t>
      </w:r>
    </w:p>
    <w:p w14:paraId="751DE5AC" w14:textId="7777777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Dziś kluczowe dla rynku pierwotnego są dwa elementy: ewentualna zmiana polityki stóp procentowych oraz oczekiwania związane z programem „Klucz do mieszkania”. Choć ten ostatni dotyczy rynku wtórnego, jego potencjalne uruchomienie może wpłynąć na decyzje kupujących. Część osób, które obecnie rozważają zakup nowego mieszkania, może wstrzymywać się z decyzją, czekając na możliwość skorzystania z dopłat na rynku wtórnym. Może to na krótki czas osłabić popyt na rynku pierwotnym, ale w dłuższej perspektywie nie spodziewamy się drastycznych zmian – wciąż mamy silną grupę klientów zainteresowanych nowymi inwestycjami.</w:t>
      </w:r>
    </w:p>
    <w:p w14:paraId="1700FBBC" w14:textId="7777777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 xml:space="preserve">Jeśli chodzi o kredyty hipoteczne – według danych BIK liczba osób wnioskujących o takie wsparcie w lutym 2025 roku wzrosła o 17% w stosunku do stycznia br.  Dodatkowo, średnia wnioskowana kwota była rekordowo wysoka, ponieważ wynosiła prawie 450 tys. zł. To przekłada się m.in. na wzrost zainteresowania naszych klientów większymi, droższymi mieszkaniami, często wykończonymi pod klucz. </w:t>
      </w:r>
    </w:p>
    <w:p w14:paraId="1BC625B4" w14:textId="7777777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Co więcej, oczekiwania dotyczące obniżki stóp procentowych w drugiej połowie 2025 roku mogą dodatkowo pobudzić rynek. Z prognoz Międzynarodowego Funduszu Walutowego wynika, że cykl łagodzenia polityki pieniężnej może rozpocząć się w kolejnych miesiącach, choć tempo tych zmian będzie stopniowe. Ekonomiści ING Banku Śląskiego zwracają uwagę, że inflacja spada szybciej niż pierwotnie zakładał NBP, co zwiększa prawdopodobieństwo wcześniejszych cięć stóp procentowych. Dla deweloperów i kupujących oznacza to, że dostępność kredytów może się poprawić, co wpłynie na większą aktywność na rynku.</w:t>
      </w:r>
    </w:p>
    <w:p w14:paraId="1BA12C08" w14:textId="7777777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 xml:space="preserve">Równocześnie podaż mieszkań na rynku pierwotnym utrzymuje się na wysokim poziomie. Jak wynika z raportu GUS, liczba oddanych do użytku przez deweloperów mieszkań wzrosła w styczniu 2025 roku o 12,9% w stosunku do analogicznego okresu w 2024 roku. To efekt intensywnej działalności deweloperów, którzy przez ostatnie lata odpowiadali na wysokie zapotrzebowanie na nowe mieszkania. Na podstawie raportu </w:t>
      </w:r>
      <w:proofErr w:type="spellStart"/>
      <w:r w:rsidRPr="00C70A85">
        <w:rPr>
          <w:rFonts w:ascii="Poppins" w:hAnsi="Poppins" w:cs="Poppins"/>
          <w:color w:val="000000"/>
          <w:sz w:val="21"/>
          <w:szCs w:val="21"/>
          <w:shd w:val="clear" w:color="auto" w:fill="FFFFFF"/>
        </w:rPr>
        <w:t>Otodom</w:t>
      </w:r>
      <w:proofErr w:type="spellEnd"/>
      <w:r w:rsidRPr="00C70A85">
        <w:rPr>
          <w:rFonts w:ascii="Poppins" w:hAnsi="Poppins" w:cs="Poppins"/>
          <w:color w:val="000000"/>
          <w:sz w:val="21"/>
          <w:szCs w:val="21"/>
          <w:shd w:val="clear" w:color="auto" w:fill="FFFFFF"/>
        </w:rPr>
        <w:t xml:space="preserve"> Analytics, w styczniu tego roku Poznań wyróżniał się na tle innych dużych miast stosunkowo niską liczbą nowych mieszkań wprowadzonych na rynek (76 sztuk) w stosunku do liczby sprzedanych mieszkań – 325 mieszkań. Całkowita oferta </w:t>
      </w:r>
      <w:r w:rsidRPr="00C70A85">
        <w:rPr>
          <w:rFonts w:ascii="Poppins" w:hAnsi="Poppins" w:cs="Poppins"/>
          <w:color w:val="000000"/>
          <w:sz w:val="21"/>
          <w:szCs w:val="21"/>
          <w:shd w:val="clear" w:color="auto" w:fill="FFFFFF"/>
        </w:rPr>
        <w:lastRenderedPageBreak/>
        <w:t xml:space="preserve">deweloperów na tym rynku wyniosła w pierwszym miesiącu tego roku niemal 6900 mieszkań. </w:t>
      </w:r>
    </w:p>
    <w:p w14:paraId="1122E6E2" w14:textId="7777777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C70A85">
        <w:rPr>
          <w:rFonts w:ascii="Poppins" w:hAnsi="Poppins" w:cs="Poppins"/>
          <w:color w:val="000000"/>
          <w:sz w:val="21"/>
          <w:szCs w:val="21"/>
          <w:shd w:val="clear" w:color="auto" w:fill="FFFFFF"/>
        </w:rPr>
        <w:t xml:space="preserve">Podsumowując, w 2025 roku rynek pierwotny wchodzi w fazę stabilizacji. Nie spodziewamy się gwałtownych wzrostów ani spadków cen, lecz ich stopniowego hamowania. Klienci mają coraz większy wybór mieszkań, a stabilizująca się sytuacja kredytowa powinna dodatkowo wspierać decyzje zakupowe. W </w:t>
      </w:r>
      <w:proofErr w:type="spellStart"/>
      <w:r w:rsidRPr="00C70A85">
        <w:rPr>
          <w:rFonts w:ascii="Poppins" w:hAnsi="Poppins" w:cs="Poppins"/>
          <w:color w:val="000000"/>
          <w:sz w:val="21"/>
          <w:szCs w:val="21"/>
          <w:shd w:val="clear" w:color="auto" w:fill="FFFFFF"/>
        </w:rPr>
        <w:t>Nickel</w:t>
      </w:r>
      <w:proofErr w:type="spellEnd"/>
      <w:r w:rsidRPr="00C70A85">
        <w:rPr>
          <w:rFonts w:ascii="Poppins" w:hAnsi="Poppins" w:cs="Poppins"/>
          <w:color w:val="000000"/>
          <w:sz w:val="21"/>
          <w:szCs w:val="21"/>
          <w:shd w:val="clear" w:color="auto" w:fill="FFFFFF"/>
        </w:rPr>
        <w:t xml:space="preserve"> Development skupiamy się na dostarczaniu inwestycji, które odpowiadają na zmieniające się potrzeby rynku, oferując mieszkania i domy w lokalizacjach zapewniających komfort i wysoką jakość życia – np. II etap nagrodzonego tytułem „Inwestycja Roku 2024” Osiedla </w:t>
      </w:r>
      <w:proofErr w:type="spellStart"/>
      <w:r w:rsidRPr="00C70A85">
        <w:rPr>
          <w:rFonts w:ascii="Poppins" w:hAnsi="Poppins" w:cs="Poppins"/>
          <w:color w:val="000000"/>
          <w:sz w:val="21"/>
          <w:szCs w:val="21"/>
          <w:shd w:val="clear" w:color="auto" w:fill="FFFFFF"/>
        </w:rPr>
        <w:t>Naturama</w:t>
      </w:r>
      <w:proofErr w:type="spellEnd"/>
      <w:r w:rsidRPr="00C70A85">
        <w:rPr>
          <w:rFonts w:ascii="Poppins" w:hAnsi="Poppins" w:cs="Poppins"/>
          <w:color w:val="000000"/>
          <w:sz w:val="21"/>
          <w:szCs w:val="21"/>
          <w:shd w:val="clear" w:color="auto" w:fill="FFFFFF"/>
        </w:rPr>
        <w:t xml:space="preserve"> na poznańskim zielonym Strzeszynie, czy XII etap oferujący gotowe do odbioru domy i mieszkania w Dąbrówce pod Poznaniem. Drugi kwartał tego roku w NICKEL Development stać będzie pod znakiem II etapu poznańskiej Warzelni, na temat której wkrótce będziemy mogli przekazać więcej informacji.</w:t>
      </w:r>
    </w:p>
    <w:p w14:paraId="18EEB25A" w14:textId="7777777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p>
    <w:p w14:paraId="1C11637E" w14:textId="77777777" w:rsidR="00C70A85" w:rsidRPr="00C70A85" w:rsidRDefault="00C70A85" w:rsidP="00C70A85">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p>
    <w:sectPr w:rsidR="00C70A85" w:rsidRPr="00C70A85" w:rsidSect="00F27760">
      <w:headerReference w:type="default" r:id="rId10"/>
      <w:pgSz w:w="11906" w:h="16838"/>
      <w:pgMar w:top="1417" w:right="1417" w:bottom="1417" w:left="1417"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539B6" w14:textId="77777777" w:rsidR="00326797" w:rsidRDefault="00326797" w:rsidP="00E533BD">
      <w:pPr>
        <w:spacing w:after="0" w:line="240" w:lineRule="auto"/>
      </w:pPr>
      <w:r>
        <w:separator/>
      </w:r>
    </w:p>
  </w:endnote>
  <w:endnote w:type="continuationSeparator" w:id="0">
    <w:p w14:paraId="37D3379D" w14:textId="77777777" w:rsidR="00326797" w:rsidRDefault="00326797" w:rsidP="00E5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oppins">
    <w:panose1 w:val="00000500000000000000"/>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77AC3" w14:textId="77777777" w:rsidR="00326797" w:rsidRDefault="00326797" w:rsidP="00E533BD">
      <w:pPr>
        <w:spacing w:after="0" w:line="240" w:lineRule="auto"/>
      </w:pPr>
      <w:r>
        <w:separator/>
      </w:r>
    </w:p>
  </w:footnote>
  <w:footnote w:type="continuationSeparator" w:id="0">
    <w:p w14:paraId="433E2A66" w14:textId="77777777" w:rsidR="00326797" w:rsidRDefault="00326797" w:rsidP="00E53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C50F8" w14:textId="72FDD39E" w:rsidR="00E533BD" w:rsidRDefault="00081B1B" w:rsidP="00D34347">
    <w:pPr>
      <w:pStyle w:val="Nagwek"/>
      <w:tabs>
        <w:tab w:val="clear" w:pos="9072"/>
      </w:tabs>
    </w:pPr>
    <w:r>
      <w:rPr>
        <w:noProof/>
      </w:rPr>
      <w:drawing>
        <wp:anchor distT="0" distB="0" distL="114300" distR="114300" simplePos="0" relativeHeight="251657728" behindDoc="0" locked="0" layoutInCell="1" allowOverlap="1" wp14:anchorId="2F2222EF" wp14:editId="3503EF3D">
          <wp:simplePos x="0" y="0"/>
          <wp:positionH relativeFrom="page">
            <wp:posOffset>28575</wp:posOffset>
          </wp:positionH>
          <wp:positionV relativeFrom="paragraph">
            <wp:posOffset>-624205</wp:posOffset>
          </wp:positionV>
          <wp:extent cx="7496810" cy="1033145"/>
          <wp:effectExtent l="0" t="0" r="0" b="0"/>
          <wp:wrapThrough wrapText="bothSides">
            <wp:wrapPolygon edited="0">
              <wp:start x="1372" y="4779"/>
              <wp:lineTo x="1098" y="7169"/>
              <wp:lineTo x="878" y="9559"/>
              <wp:lineTo x="878" y="15533"/>
              <wp:lineTo x="9276" y="18321"/>
              <wp:lineTo x="19211" y="19516"/>
              <wp:lineTo x="20693" y="19516"/>
              <wp:lineTo x="20747" y="18321"/>
              <wp:lineTo x="18717" y="11948"/>
              <wp:lineTo x="18826" y="8364"/>
              <wp:lineTo x="16302" y="7567"/>
              <wp:lineTo x="1976" y="4779"/>
              <wp:lineTo x="1372" y="4779"/>
            </wp:wrapPolygon>
          </wp:wrapThrough>
          <wp:docPr id="1622622425" name="Graf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3"/>
                  <pic:cNvPicPr/>
                </pic:nvPicPr>
                <pic:blipFill>
                  <a:blip r:embed="rId1"/>
                  <a:srcRect l="7" r="7"/>
                  <a:stretch>
                    <a:fillRect/>
                  </a:stretch>
                </pic:blipFill>
                <pic:spPr>
                  <a:xfrm>
                    <a:off x="0" y="0"/>
                    <a:ext cx="7496810" cy="1033145"/>
                  </a:xfrm>
                  <a:prstGeom prst="rect">
                    <a:avLst/>
                  </a:prstGeom>
                </pic:spPr>
              </pic:pic>
            </a:graphicData>
          </a:graphic>
          <wp14:sizeRelH relativeFrom="margin">
            <wp14:pctWidth>0</wp14:pctWidth>
          </wp14:sizeRelH>
          <wp14:sizeRelV relativeFrom="margin">
            <wp14:pctHeight>0</wp14:pctHeight>
          </wp14:sizeRelV>
        </wp:anchor>
      </w:drawing>
    </w:r>
    <w:r w:rsidR="00D34347">
      <w:tab/>
    </w:r>
    <w:r w:rsidR="00FB7A2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4240"/>
    <w:multiLevelType w:val="hybridMultilevel"/>
    <w:tmpl w:val="06FEBDC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EC1CB8"/>
    <w:multiLevelType w:val="hybridMultilevel"/>
    <w:tmpl w:val="FD58D1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3F632F"/>
    <w:multiLevelType w:val="hybridMultilevel"/>
    <w:tmpl w:val="9012650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290711"/>
    <w:multiLevelType w:val="hybridMultilevel"/>
    <w:tmpl w:val="907665A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1F3EA7"/>
    <w:multiLevelType w:val="hybridMultilevel"/>
    <w:tmpl w:val="9752B4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D9112D"/>
    <w:multiLevelType w:val="hybridMultilevel"/>
    <w:tmpl w:val="1830574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E62696"/>
    <w:multiLevelType w:val="hybridMultilevel"/>
    <w:tmpl w:val="11E860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344CB"/>
    <w:multiLevelType w:val="hybridMultilevel"/>
    <w:tmpl w:val="B8FE7EA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E105D1"/>
    <w:multiLevelType w:val="hybridMultilevel"/>
    <w:tmpl w:val="86DC049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B2763B"/>
    <w:multiLevelType w:val="hybridMultilevel"/>
    <w:tmpl w:val="2C2E26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2957F1"/>
    <w:multiLevelType w:val="hybridMultilevel"/>
    <w:tmpl w:val="DCDA51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40043F"/>
    <w:multiLevelType w:val="hybridMultilevel"/>
    <w:tmpl w:val="07A0F0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74F5FB5"/>
    <w:multiLevelType w:val="hybridMultilevel"/>
    <w:tmpl w:val="C7C6B0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AD513D"/>
    <w:multiLevelType w:val="hybridMultilevel"/>
    <w:tmpl w:val="A2C29B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D090FD0"/>
    <w:multiLevelType w:val="hybridMultilevel"/>
    <w:tmpl w:val="C5F60B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7E332E"/>
    <w:multiLevelType w:val="hybridMultilevel"/>
    <w:tmpl w:val="47308BB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A83CC0"/>
    <w:multiLevelType w:val="hybridMultilevel"/>
    <w:tmpl w:val="9ECA132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BB848D1"/>
    <w:multiLevelType w:val="hybridMultilevel"/>
    <w:tmpl w:val="7F6232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7991836">
    <w:abstractNumId w:val="11"/>
  </w:num>
  <w:num w:numId="2" w16cid:durableId="625618733">
    <w:abstractNumId w:val="4"/>
  </w:num>
  <w:num w:numId="3" w16cid:durableId="844175983">
    <w:abstractNumId w:val="14"/>
  </w:num>
  <w:num w:numId="4" w16cid:durableId="933368020">
    <w:abstractNumId w:val="12"/>
  </w:num>
  <w:num w:numId="5" w16cid:durableId="2125269059">
    <w:abstractNumId w:val="10"/>
  </w:num>
  <w:num w:numId="6" w16cid:durableId="1587082">
    <w:abstractNumId w:val="16"/>
  </w:num>
  <w:num w:numId="7" w16cid:durableId="1220171235">
    <w:abstractNumId w:val="7"/>
  </w:num>
  <w:num w:numId="8" w16cid:durableId="39286666">
    <w:abstractNumId w:val="8"/>
  </w:num>
  <w:num w:numId="9" w16cid:durableId="475949925">
    <w:abstractNumId w:val="13"/>
  </w:num>
  <w:num w:numId="10" w16cid:durableId="2071423507">
    <w:abstractNumId w:val="5"/>
  </w:num>
  <w:num w:numId="11" w16cid:durableId="1927960401">
    <w:abstractNumId w:val="1"/>
  </w:num>
  <w:num w:numId="12" w16cid:durableId="817957500">
    <w:abstractNumId w:val="17"/>
  </w:num>
  <w:num w:numId="13" w16cid:durableId="1679649000">
    <w:abstractNumId w:val="15"/>
  </w:num>
  <w:num w:numId="14" w16cid:durableId="1023435075">
    <w:abstractNumId w:val="2"/>
  </w:num>
  <w:num w:numId="15" w16cid:durableId="332344186">
    <w:abstractNumId w:val="6"/>
  </w:num>
  <w:num w:numId="16" w16cid:durableId="62024124">
    <w:abstractNumId w:val="3"/>
  </w:num>
  <w:num w:numId="17" w16cid:durableId="1555460490">
    <w:abstractNumId w:val="0"/>
  </w:num>
  <w:num w:numId="18" w16cid:durableId="163232385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BD"/>
    <w:rsid w:val="000002E8"/>
    <w:rsid w:val="00000A85"/>
    <w:rsid w:val="00001618"/>
    <w:rsid w:val="00001849"/>
    <w:rsid w:val="00002A42"/>
    <w:rsid w:val="00003E5E"/>
    <w:rsid w:val="000042FE"/>
    <w:rsid w:val="000056B8"/>
    <w:rsid w:val="000060D1"/>
    <w:rsid w:val="000061D9"/>
    <w:rsid w:val="00006642"/>
    <w:rsid w:val="00006A69"/>
    <w:rsid w:val="00006F44"/>
    <w:rsid w:val="00007A32"/>
    <w:rsid w:val="00011E38"/>
    <w:rsid w:val="00012523"/>
    <w:rsid w:val="000129F0"/>
    <w:rsid w:val="000137A1"/>
    <w:rsid w:val="00013DDD"/>
    <w:rsid w:val="000144F1"/>
    <w:rsid w:val="000145E7"/>
    <w:rsid w:val="00015217"/>
    <w:rsid w:val="000163FF"/>
    <w:rsid w:val="00016CCE"/>
    <w:rsid w:val="00020897"/>
    <w:rsid w:val="00021C40"/>
    <w:rsid w:val="0002392F"/>
    <w:rsid w:val="00024807"/>
    <w:rsid w:val="00024C79"/>
    <w:rsid w:val="00025149"/>
    <w:rsid w:val="00025C3F"/>
    <w:rsid w:val="000263B6"/>
    <w:rsid w:val="000263DA"/>
    <w:rsid w:val="00027A7A"/>
    <w:rsid w:val="00030E89"/>
    <w:rsid w:val="00033BBB"/>
    <w:rsid w:val="00033DE6"/>
    <w:rsid w:val="000349B0"/>
    <w:rsid w:val="00034DC1"/>
    <w:rsid w:val="000359DE"/>
    <w:rsid w:val="00036883"/>
    <w:rsid w:val="000402E2"/>
    <w:rsid w:val="000407EE"/>
    <w:rsid w:val="00041588"/>
    <w:rsid w:val="0004178E"/>
    <w:rsid w:val="00042A63"/>
    <w:rsid w:val="00042B93"/>
    <w:rsid w:val="00043927"/>
    <w:rsid w:val="0004490A"/>
    <w:rsid w:val="000453E7"/>
    <w:rsid w:val="00045848"/>
    <w:rsid w:val="00046CFA"/>
    <w:rsid w:val="000502DD"/>
    <w:rsid w:val="00050E62"/>
    <w:rsid w:val="000522FB"/>
    <w:rsid w:val="00052955"/>
    <w:rsid w:val="000563B9"/>
    <w:rsid w:val="00057A2C"/>
    <w:rsid w:val="00061CAA"/>
    <w:rsid w:val="00063116"/>
    <w:rsid w:val="00063B07"/>
    <w:rsid w:val="0006400F"/>
    <w:rsid w:val="000641D4"/>
    <w:rsid w:val="00064FAC"/>
    <w:rsid w:val="00065C60"/>
    <w:rsid w:val="00066B5C"/>
    <w:rsid w:val="00066C52"/>
    <w:rsid w:val="00067EFD"/>
    <w:rsid w:val="0007065E"/>
    <w:rsid w:val="00070DDC"/>
    <w:rsid w:val="0007305E"/>
    <w:rsid w:val="00073AA1"/>
    <w:rsid w:val="00074E85"/>
    <w:rsid w:val="000761CA"/>
    <w:rsid w:val="0007685E"/>
    <w:rsid w:val="00076EF6"/>
    <w:rsid w:val="0007704E"/>
    <w:rsid w:val="00080251"/>
    <w:rsid w:val="000806C6"/>
    <w:rsid w:val="00081B1B"/>
    <w:rsid w:val="00082192"/>
    <w:rsid w:val="00082336"/>
    <w:rsid w:val="000823C9"/>
    <w:rsid w:val="00082E4C"/>
    <w:rsid w:val="000831CE"/>
    <w:rsid w:val="00083744"/>
    <w:rsid w:val="0008441D"/>
    <w:rsid w:val="00084AA3"/>
    <w:rsid w:val="000854B4"/>
    <w:rsid w:val="000855AF"/>
    <w:rsid w:val="00085A66"/>
    <w:rsid w:val="00086D0B"/>
    <w:rsid w:val="00086FD9"/>
    <w:rsid w:val="00087EEC"/>
    <w:rsid w:val="00090AB6"/>
    <w:rsid w:val="000929CE"/>
    <w:rsid w:val="0009341A"/>
    <w:rsid w:val="00093901"/>
    <w:rsid w:val="00096D04"/>
    <w:rsid w:val="000A1016"/>
    <w:rsid w:val="000A229E"/>
    <w:rsid w:val="000A2498"/>
    <w:rsid w:val="000A24A5"/>
    <w:rsid w:val="000A2644"/>
    <w:rsid w:val="000A3103"/>
    <w:rsid w:val="000A3148"/>
    <w:rsid w:val="000A4B41"/>
    <w:rsid w:val="000A5D5E"/>
    <w:rsid w:val="000B074E"/>
    <w:rsid w:val="000B0D88"/>
    <w:rsid w:val="000B13AD"/>
    <w:rsid w:val="000B19F6"/>
    <w:rsid w:val="000B21BF"/>
    <w:rsid w:val="000B2C89"/>
    <w:rsid w:val="000B2E64"/>
    <w:rsid w:val="000B2F6E"/>
    <w:rsid w:val="000B3779"/>
    <w:rsid w:val="000B3C1D"/>
    <w:rsid w:val="000B5EBC"/>
    <w:rsid w:val="000B63A2"/>
    <w:rsid w:val="000B6D35"/>
    <w:rsid w:val="000B7465"/>
    <w:rsid w:val="000B79A5"/>
    <w:rsid w:val="000B7F29"/>
    <w:rsid w:val="000C045D"/>
    <w:rsid w:val="000C1B45"/>
    <w:rsid w:val="000C1F4D"/>
    <w:rsid w:val="000C302D"/>
    <w:rsid w:val="000C3444"/>
    <w:rsid w:val="000C3AD6"/>
    <w:rsid w:val="000C415C"/>
    <w:rsid w:val="000C428F"/>
    <w:rsid w:val="000C53BD"/>
    <w:rsid w:val="000C5496"/>
    <w:rsid w:val="000C5D8B"/>
    <w:rsid w:val="000C7DBB"/>
    <w:rsid w:val="000D0F89"/>
    <w:rsid w:val="000D1D71"/>
    <w:rsid w:val="000D39F8"/>
    <w:rsid w:val="000D488C"/>
    <w:rsid w:val="000D5BF1"/>
    <w:rsid w:val="000D7E57"/>
    <w:rsid w:val="000E0371"/>
    <w:rsid w:val="000E09D9"/>
    <w:rsid w:val="000E258B"/>
    <w:rsid w:val="000E2E07"/>
    <w:rsid w:val="000E48D4"/>
    <w:rsid w:val="000E4B93"/>
    <w:rsid w:val="000E4EA2"/>
    <w:rsid w:val="000E51E9"/>
    <w:rsid w:val="000E51EA"/>
    <w:rsid w:val="000E5581"/>
    <w:rsid w:val="000E5590"/>
    <w:rsid w:val="000E64C0"/>
    <w:rsid w:val="000E6541"/>
    <w:rsid w:val="000E682D"/>
    <w:rsid w:val="000E6BD8"/>
    <w:rsid w:val="000E79EB"/>
    <w:rsid w:val="000F03A5"/>
    <w:rsid w:val="000F062A"/>
    <w:rsid w:val="000F0CDF"/>
    <w:rsid w:val="000F0CE7"/>
    <w:rsid w:val="000F194F"/>
    <w:rsid w:val="000F2C2C"/>
    <w:rsid w:val="000F2E2E"/>
    <w:rsid w:val="000F3B9A"/>
    <w:rsid w:val="000F40B8"/>
    <w:rsid w:val="000F45C4"/>
    <w:rsid w:val="000F48AC"/>
    <w:rsid w:val="000F4F00"/>
    <w:rsid w:val="000F504D"/>
    <w:rsid w:val="000F5321"/>
    <w:rsid w:val="000F5BE0"/>
    <w:rsid w:val="000F70B4"/>
    <w:rsid w:val="000F7803"/>
    <w:rsid w:val="001004FE"/>
    <w:rsid w:val="00101A5D"/>
    <w:rsid w:val="00102132"/>
    <w:rsid w:val="001028A3"/>
    <w:rsid w:val="00103C8B"/>
    <w:rsid w:val="00104414"/>
    <w:rsid w:val="00105128"/>
    <w:rsid w:val="0010530B"/>
    <w:rsid w:val="00105F19"/>
    <w:rsid w:val="00106A87"/>
    <w:rsid w:val="001070CB"/>
    <w:rsid w:val="00110DD0"/>
    <w:rsid w:val="00111028"/>
    <w:rsid w:val="00111F06"/>
    <w:rsid w:val="0011205A"/>
    <w:rsid w:val="00112CB4"/>
    <w:rsid w:val="00113926"/>
    <w:rsid w:val="00113937"/>
    <w:rsid w:val="00113DB5"/>
    <w:rsid w:val="001146FC"/>
    <w:rsid w:val="00115C79"/>
    <w:rsid w:val="00115D67"/>
    <w:rsid w:val="001161DC"/>
    <w:rsid w:val="00116811"/>
    <w:rsid w:val="0011764A"/>
    <w:rsid w:val="00117A46"/>
    <w:rsid w:val="00117EB5"/>
    <w:rsid w:val="00120659"/>
    <w:rsid w:val="001206DB"/>
    <w:rsid w:val="00120DD4"/>
    <w:rsid w:val="001213C7"/>
    <w:rsid w:val="0012169B"/>
    <w:rsid w:val="00121B26"/>
    <w:rsid w:val="0012236A"/>
    <w:rsid w:val="001231BC"/>
    <w:rsid w:val="001232C8"/>
    <w:rsid w:val="00123785"/>
    <w:rsid w:val="00124902"/>
    <w:rsid w:val="001269DC"/>
    <w:rsid w:val="00126DB7"/>
    <w:rsid w:val="00127E49"/>
    <w:rsid w:val="001301FC"/>
    <w:rsid w:val="001306D2"/>
    <w:rsid w:val="00130E57"/>
    <w:rsid w:val="001320A1"/>
    <w:rsid w:val="00132232"/>
    <w:rsid w:val="00132767"/>
    <w:rsid w:val="00134C43"/>
    <w:rsid w:val="001361E9"/>
    <w:rsid w:val="0013685C"/>
    <w:rsid w:val="00136D4B"/>
    <w:rsid w:val="00142206"/>
    <w:rsid w:val="0014363A"/>
    <w:rsid w:val="00144016"/>
    <w:rsid w:val="0014416A"/>
    <w:rsid w:val="00144283"/>
    <w:rsid w:val="00145476"/>
    <w:rsid w:val="00145556"/>
    <w:rsid w:val="0014648D"/>
    <w:rsid w:val="00147053"/>
    <w:rsid w:val="001471F6"/>
    <w:rsid w:val="001473CF"/>
    <w:rsid w:val="00147F1B"/>
    <w:rsid w:val="001509C4"/>
    <w:rsid w:val="0015118E"/>
    <w:rsid w:val="001528FB"/>
    <w:rsid w:val="00153A86"/>
    <w:rsid w:val="00154A2E"/>
    <w:rsid w:val="00154B20"/>
    <w:rsid w:val="00154BCD"/>
    <w:rsid w:val="001552E9"/>
    <w:rsid w:val="001569A6"/>
    <w:rsid w:val="0016081F"/>
    <w:rsid w:val="00160B41"/>
    <w:rsid w:val="0016161C"/>
    <w:rsid w:val="00162CA1"/>
    <w:rsid w:val="00162F58"/>
    <w:rsid w:val="00163307"/>
    <w:rsid w:val="00164D42"/>
    <w:rsid w:val="00165776"/>
    <w:rsid w:val="001659C3"/>
    <w:rsid w:val="00166C5F"/>
    <w:rsid w:val="00167097"/>
    <w:rsid w:val="0016733F"/>
    <w:rsid w:val="00170228"/>
    <w:rsid w:val="00170FE7"/>
    <w:rsid w:val="001715BA"/>
    <w:rsid w:val="00171A76"/>
    <w:rsid w:val="00173FB3"/>
    <w:rsid w:val="00174A35"/>
    <w:rsid w:val="00176DE5"/>
    <w:rsid w:val="0018070F"/>
    <w:rsid w:val="0018145A"/>
    <w:rsid w:val="0018238D"/>
    <w:rsid w:val="00182A17"/>
    <w:rsid w:val="00182A25"/>
    <w:rsid w:val="00183033"/>
    <w:rsid w:val="0018306C"/>
    <w:rsid w:val="00183430"/>
    <w:rsid w:val="0018474F"/>
    <w:rsid w:val="00185BD3"/>
    <w:rsid w:val="00186ECC"/>
    <w:rsid w:val="00186F16"/>
    <w:rsid w:val="00187E8B"/>
    <w:rsid w:val="00190333"/>
    <w:rsid w:val="00190816"/>
    <w:rsid w:val="00190D9D"/>
    <w:rsid w:val="00191D3E"/>
    <w:rsid w:val="001922AD"/>
    <w:rsid w:val="0019397F"/>
    <w:rsid w:val="001939E2"/>
    <w:rsid w:val="001944F8"/>
    <w:rsid w:val="00195194"/>
    <w:rsid w:val="001974F9"/>
    <w:rsid w:val="00197967"/>
    <w:rsid w:val="001A1BA9"/>
    <w:rsid w:val="001A3247"/>
    <w:rsid w:val="001A4996"/>
    <w:rsid w:val="001A4C55"/>
    <w:rsid w:val="001A4D0D"/>
    <w:rsid w:val="001A5404"/>
    <w:rsid w:val="001A56D2"/>
    <w:rsid w:val="001A59C1"/>
    <w:rsid w:val="001A5E22"/>
    <w:rsid w:val="001A60AD"/>
    <w:rsid w:val="001A691F"/>
    <w:rsid w:val="001A6FF6"/>
    <w:rsid w:val="001A70B1"/>
    <w:rsid w:val="001B2E09"/>
    <w:rsid w:val="001B3ADC"/>
    <w:rsid w:val="001B4E66"/>
    <w:rsid w:val="001B5603"/>
    <w:rsid w:val="001B5A23"/>
    <w:rsid w:val="001B617B"/>
    <w:rsid w:val="001B624A"/>
    <w:rsid w:val="001B6BA9"/>
    <w:rsid w:val="001B7436"/>
    <w:rsid w:val="001B74C6"/>
    <w:rsid w:val="001B7E23"/>
    <w:rsid w:val="001C0156"/>
    <w:rsid w:val="001C039A"/>
    <w:rsid w:val="001C2612"/>
    <w:rsid w:val="001C320E"/>
    <w:rsid w:val="001C4BBA"/>
    <w:rsid w:val="001C5206"/>
    <w:rsid w:val="001D0635"/>
    <w:rsid w:val="001D0E44"/>
    <w:rsid w:val="001D0ED3"/>
    <w:rsid w:val="001D103A"/>
    <w:rsid w:val="001D10C1"/>
    <w:rsid w:val="001D1C9C"/>
    <w:rsid w:val="001D46E9"/>
    <w:rsid w:val="001D506D"/>
    <w:rsid w:val="001D5A36"/>
    <w:rsid w:val="001D5AA6"/>
    <w:rsid w:val="001D5F52"/>
    <w:rsid w:val="001D618A"/>
    <w:rsid w:val="001D7DE8"/>
    <w:rsid w:val="001E00AB"/>
    <w:rsid w:val="001E12EA"/>
    <w:rsid w:val="001E155C"/>
    <w:rsid w:val="001E1C2F"/>
    <w:rsid w:val="001E1C44"/>
    <w:rsid w:val="001E2ABA"/>
    <w:rsid w:val="001E2C6A"/>
    <w:rsid w:val="001E302D"/>
    <w:rsid w:val="001E43D7"/>
    <w:rsid w:val="001E4B15"/>
    <w:rsid w:val="001E4FDC"/>
    <w:rsid w:val="001E736E"/>
    <w:rsid w:val="001E77C0"/>
    <w:rsid w:val="001E7C5B"/>
    <w:rsid w:val="001E7DF2"/>
    <w:rsid w:val="001E7E97"/>
    <w:rsid w:val="001F0313"/>
    <w:rsid w:val="001F07A9"/>
    <w:rsid w:val="001F0B7E"/>
    <w:rsid w:val="001F0C69"/>
    <w:rsid w:val="001F0E49"/>
    <w:rsid w:val="001F17BC"/>
    <w:rsid w:val="001F37B3"/>
    <w:rsid w:val="001F40C1"/>
    <w:rsid w:val="001F5AC8"/>
    <w:rsid w:val="001F5CF3"/>
    <w:rsid w:val="001F5F14"/>
    <w:rsid w:val="001F606E"/>
    <w:rsid w:val="001F74BC"/>
    <w:rsid w:val="001F780C"/>
    <w:rsid w:val="00200433"/>
    <w:rsid w:val="00201271"/>
    <w:rsid w:val="002015FD"/>
    <w:rsid w:val="002015FF"/>
    <w:rsid w:val="00201A78"/>
    <w:rsid w:val="002038FE"/>
    <w:rsid w:val="002043DD"/>
    <w:rsid w:val="00205059"/>
    <w:rsid w:val="00205E7F"/>
    <w:rsid w:val="00205FD1"/>
    <w:rsid w:val="00207BE9"/>
    <w:rsid w:val="00210708"/>
    <w:rsid w:val="00210D7B"/>
    <w:rsid w:val="00211A6D"/>
    <w:rsid w:val="00211F01"/>
    <w:rsid w:val="00212518"/>
    <w:rsid w:val="002127E7"/>
    <w:rsid w:val="0021396E"/>
    <w:rsid w:val="00213A67"/>
    <w:rsid w:val="00213C51"/>
    <w:rsid w:val="00213CDA"/>
    <w:rsid w:val="0021403A"/>
    <w:rsid w:val="00214AED"/>
    <w:rsid w:val="00214C3B"/>
    <w:rsid w:val="002152D0"/>
    <w:rsid w:val="00215410"/>
    <w:rsid w:val="002155C8"/>
    <w:rsid w:val="002157E3"/>
    <w:rsid w:val="00215BBB"/>
    <w:rsid w:val="0021756A"/>
    <w:rsid w:val="002210C5"/>
    <w:rsid w:val="00222E9B"/>
    <w:rsid w:val="002231EE"/>
    <w:rsid w:val="002238A5"/>
    <w:rsid w:val="00223BFF"/>
    <w:rsid w:val="00225148"/>
    <w:rsid w:val="00225F20"/>
    <w:rsid w:val="00225F83"/>
    <w:rsid w:val="00226144"/>
    <w:rsid w:val="00227F7E"/>
    <w:rsid w:val="00230728"/>
    <w:rsid w:val="00231223"/>
    <w:rsid w:val="00231915"/>
    <w:rsid w:val="00232B3F"/>
    <w:rsid w:val="00233071"/>
    <w:rsid w:val="00233E5E"/>
    <w:rsid w:val="002345D0"/>
    <w:rsid w:val="0023647D"/>
    <w:rsid w:val="0023663C"/>
    <w:rsid w:val="00236BDC"/>
    <w:rsid w:val="00237AF8"/>
    <w:rsid w:val="002406AA"/>
    <w:rsid w:val="00240AE3"/>
    <w:rsid w:val="0024129B"/>
    <w:rsid w:val="00241339"/>
    <w:rsid w:val="00242CBF"/>
    <w:rsid w:val="002448CB"/>
    <w:rsid w:val="00244B60"/>
    <w:rsid w:val="0024531F"/>
    <w:rsid w:val="0024559A"/>
    <w:rsid w:val="00246630"/>
    <w:rsid w:val="00246964"/>
    <w:rsid w:val="00246D04"/>
    <w:rsid w:val="00247840"/>
    <w:rsid w:val="00247B69"/>
    <w:rsid w:val="002500E2"/>
    <w:rsid w:val="00250D9F"/>
    <w:rsid w:val="00250E3D"/>
    <w:rsid w:val="002511C4"/>
    <w:rsid w:val="0025139C"/>
    <w:rsid w:val="00251A09"/>
    <w:rsid w:val="00253052"/>
    <w:rsid w:val="00254C57"/>
    <w:rsid w:val="0025533F"/>
    <w:rsid w:val="00255535"/>
    <w:rsid w:val="00255DA9"/>
    <w:rsid w:val="00260568"/>
    <w:rsid w:val="00260DB8"/>
    <w:rsid w:val="002623D9"/>
    <w:rsid w:val="00262DFF"/>
    <w:rsid w:val="002667AD"/>
    <w:rsid w:val="00267338"/>
    <w:rsid w:val="0027083D"/>
    <w:rsid w:val="00271B41"/>
    <w:rsid w:val="00272110"/>
    <w:rsid w:val="00272BF1"/>
    <w:rsid w:val="00273869"/>
    <w:rsid w:val="002748F6"/>
    <w:rsid w:val="0027582F"/>
    <w:rsid w:val="00275B57"/>
    <w:rsid w:val="002760E1"/>
    <w:rsid w:val="0027612B"/>
    <w:rsid w:val="00280116"/>
    <w:rsid w:val="00280C77"/>
    <w:rsid w:val="00280E16"/>
    <w:rsid w:val="0028159E"/>
    <w:rsid w:val="00281680"/>
    <w:rsid w:val="002825EB"/>
    <w:rsid w:val="002829A7"/>
    <w:rsid w:val="00283C41"/>
    <w:rsid w:val="00285FE7"/>
    <w:rsid w:val="002875C9"/>
    <w:rsid w:val="00287901"/>
    <w:rsid w:val="002901FD"/>
    <w:rsid w:val="002902A5"/>
    <w:rsid w:val="00290D0F"/>
    <w:rsid w:val="00291B76"/>
    <w:rsid w:val="00291D97"/>
    <w:rsid w:val="002926D0"/>
    <w:rsid w:val="0029357F"/>
    <w:rsid w:val="00293F01"/>
    <w:rsid w:val="00294C7A"/>
    <w:rsid w:val="002957A3"/>
    <w:rsid w:val="00296C2F"/>
    <w:rsid w:val="00296E9C"/>
    <w:rsid w:val="00297A7E"/>
    <w:rsid w:val="002A0A9C"/>
    <w:rsid w:val="002A0C29"/>
    <w:rsid w:val="002A171D"/>
    <w:rsid w:val="002A1958"/>
    <w:rsid w:val="002A28FC"/>
    <w:rsid w:val="002A2F54"/>
    <w:rsid w:val="002A3587"/>
    <w:rsid w:val="002A3C0B"/>
    <w:rsid w:val="002A593C"/>
    <w:rsid w:val="002B04C7"/>
    <w:rsid w:val="002B0A39"/>
    <w:rsid w:val="002B2890"/>
    <w:rsid w:val="002B54C5"/>
    <w:rsid w:val="002B5842"/>
    <w:rsid w:val="002B6751"/>
    <w:rsid w:val="002B6CB0"/>
    <w:rsid w:val="002B7921"/>
    <w:rsid w:val="002C0259"/>
    <w:rsid w:val="002C0AD6"/>
    <w:rsid w:val="002C1279"/>
    <w:rsid w:val="002C25C5"/>
    <w:rsid w:val="002C284C"/>
    <w:rsid w:val="002C305F"/>
    <w:rsid w:val="002C3A0A"/>
    <w:rsid w:val="002C452A"/>
    <w:rsid w:val="002C4609"/>
    <w:rsid w:val="002C4660"/>
    <w:rsid w:val="002C5DDD"/>
    <w:rsid w:val="002C667B"/>
    <w:rsid w:val="002C6809"/>
    <w:rsid w:val="002C6A98"/>
    <w:rsid w:val="002C7BE9"/>
    <w:rsid w:val="002D0514"/>
    <w:rsid w:val="002D1C61"/>
    <w:rsid w:val="002D2AC0"/>
    <w:rsid w:val="002D2E91"/>
    <w:rsid w:val="002D3A59"/>
    <w:rsid w:val="002D4809"/>
    <w:rsid w:val="002D496B"/>
    <w:rsid w:val="002D4FC3"/>
    <w:rsid w:val="002D63FC"/>
    <w:rsid w:val="002D640E"/>
    <w:rsid w:val="002E06BF"/>
    <w:rsid w:val="002E14D0"/>
    <w:rsid w:val="002E30B1"/>
    <w:rsid w:val="002E451E"/>
    <w:rsid w:val="002E5780"/>
    <w:rsid w:val="002E61B1"/>
    <w:rsid w:val="002E6753"/>
    <w:rsid w:val="002F155F"/>
    <w:rsid w:val="002F2C0A"/>
    <w:rsid w:val="002F2C14"/>
    <w:rsid w:val="002F2FFE"/>
    <w:rsid w:val="002F4185"/>
    <w:rsid w:val="002F41B2"/>
    <w:rsid w:val="002F5419"/>
    <w:rsid w:val="002F5544"/>
    <w:rsid w:val="002F6068"/>
    <w:rsid w:val="002F6878"/>
    <w:rsid w:val="002F7F7E"/>
    <w:rsid w:val="00300D15"/>
    <w:rsid w:val="00301963"/>
    <w:rsid w:val="0030360E"/>
    <w:rsid w:val="00303AAF"/>
    <w:rsid w:val="00303DE0"/>
    <w:rsid w:val="00303E7B"/>
    <w:rsid w:val="003044A6"/>
    <w:rsid w:val="003045CD"/>
    <w:rsid w:val="00304F05"/>
    <w:rsid w:val="003053D6"/>
    <w:rsid w:val="00305F87"/>
    <w:rsid w:val="00306091"/>
    <w:rsid w:val="003073B9"/>
    <w:rsid w:val="00312757"/>
    <w:rsid w:val="0031301D"/>
    <w:rsid w:val="003138F9"/>
    <w:rsid w:val="00314392"/>
    <w:rsid w:val="003145E7"/>
    <w:rsid w:val="00314A79"/>
    <w:rsid w:val="00320940"/>
    <w:rsid w:val="003211D8"/>
    <w:rsid w:val="003212FB"/>
    <w:rsid w:val="0032133D"/>
    <w:rsid w:val="00322543"/>
    <w:rsid w:val="00322694"/>
    <w:rsid w:val="00322D78"/>
    <w:rsid w:val="00323885"/>
    <w:rsid w:val="003239AB"/>
    <w:rsid w:val="003241B0"/>
    <w:rsid w:val="003250B8"/>
    <w:rsid w:val="0032659B"/>
    <w:rsid w:val="00326797"/>
    <w:rsid w:val="003268C6"/>
    <w:rsid w:val="00326D62"/>
    <w:rsid w:val="00326EAC"/>
    <w:rsid w:val="00327181"/>
    <w:rsid w:val="00327460"/>
    <w:rsid w:val="00327650"/>
    <w:rsid w:val="00327CD8"/>
    <w:rsid w:val="0033004E"/>
    <w:rsid w:val="003323A1"/>
    <w:rsid w:val="003324A7"/>
    <w:rsid w:val="003328DA"/>
    <w:rsid w:val="0033382E"/>
    <w:rsid w:val="0033400C"/>
    <w:rsid w:val="00336312"/>
    <w:rsid w:val="00336919"/>
    <w:rsid w:val="003375B3"/>
    <w:rsid w:val="00340A67"/>
    <w:rsid w:val="00340B00"/>
    <w:rsid w:val="00341614"/>
    <w:rsid w:val="0034195C"/>
    <w:rsid w:val="00341E67"/>
    <w:rsid w:val="0034233B"/>
    <w:rsid w:val="00344D28"/>
    <w:rsid w:val="0034546F"/>
    <w:rsid w:val="003454A5"/>
    <w:rsid w:val="00345873"/>
    <w:rsid w:val="00345A00"/>
    <w:rsid w:val="00346E33"/>
    <w:rsid w:val="00346EEF"/>
    <w:rsid w:val="0034787D"/>
    <w:rsid w:val="00352BED"/>
    <w:rsid w:val="00352F52"/>
    <w:rsid w:val="00353E19"/>
    <w:rsid w:val="00354003"/>
    <w:rsid w:val="0035422A"/>
    <w:rsid w:val="0035435D"/>
    <w:rsid w:val="00354557"/>
    <w:rsid w:val="00355983"/>
    <w:rsid w:val="00356BEE"/>
    <w:rsid w:val="00356D43"/>
    <w:rsid w:val="00357B3D"/>
    <w:rsid w:val="00357E18"/>
    <w:rsid w:val="003614B5"/>
    <w:rsid w:val="0036198D"/>
    <w:rsid w:val="00361E08"/>
    <w:rsid w:val="003637F7"/>
    <w:rsid w:val="0036383A"/>
    <w:rsid w:val="003643BC"/>
    <w:rsid w:val="00364C4C"/>
    <w:rsid w:val="003650A2"/>
    <w:rsid w:val="00366FF1"/>
    <w:rsid w:val="0037269D"/>
    <w:rsid w:val="00372BC0"/>
    <w:rsid w:val="003730D4"/>
    <w:rsid w:val="00373FA2"/>
    <w:rsid w:val="00374009"/>
    <w:rsid w:val="003743D7"/>
    <w:rsid w:val="003758F9"/>
    <w:rsid w:val="00375929"/>
    <w:rsid w:val="00376BA5"/>
    <w:rsid w:val="0037723E"/>
    <w:rsid w:val="0038041B"/>
    <w:rsid w:val="0038065C"/>
    <w:rsid w:val="00380D82"/>
    <w:rsid w:val="00381A71"/>
    <w:rsid w:val="00382716"/>
    <w:rsid w:val="00383A98"/>
    <w:rsid w:val="003841A4"/>
    <w:rsid w:val="003846BC"/>
    <w:rsid w:val="00385035"/>
    <w:rsid w:val="00385D68"/>
    <w:rsid w:val="003860C5"/>
    <w:rsid w:val="00386265"/>
    <w:rsid w:val="00386DA4"/>
    <w:rsid w:val="00387F4D"/>
    <w:rsid w:val="003906FC"/>
    <w:rsid w:val="00390B64"/>
    <w:rsid w:val="00391CF9"/>
    <w:rsid w:val="00392E3F"/>
    <w:rsid w:val="00393CDB"/>
    <w:rsid w:val="00393F49"/>
    <w:rsid w:val="0039433D"/>
    <w:rsid w:val="00394DED"/>
    <w:rsid w:val="00394EC0"/>
    <w:rsid w:val="003955B0"/>
    <w:rsid w:val="00395E21"/>
    <w:rsid w:val="00396800"/>
    <w:rsid w:val="00396BFD"/>
    <w:rsid w:val="00397062"/>
    <w:rsid w:val="003976AD"/>
    <w:rsid w:val="003A0105"/>
    <w:rsid w:val="003A0D91"/>
    <w:rsid w:val="003A182E"/>
    <w:rsid w:val="003A20A1"/>
    <w:rsid w:val="003A2850"/>
    <w:rsid w:val="003A33CE"/>
    <w:rsid w:val="003A38FA"/>
    <w:rsid w:val="003A4791"/>
    <w:rsid w:val="003A4A4F"/>
    <w:rsid w:val="003A601F"/>
    <w:rsid w:val="003A79DA"/>
    <w:rsid w:val="003A7FC4"/>
    <w:rsid w:val="003B020C"/>
    <w:rsid w:val="003B27A8"/>
    <w:rsid w:val="003B4CEC"/>
    <w:rsid w:val="003B51CA"/>
    <w:rsid w:val="003B578D"/>
    <w:rsid w:val="003B6079"/>
    <w:rsid w:val="003B61DC"/>
    <w:rsid w:val="003B7FCB"/>
    <w:rsid w:val="003C076C"/>
    <w:rsid w:val="003C0B94"/>
    <w:rsid w:val="003C28C3"/>
    <w:rsid w:val="003C2D2C"/>
    <w:rsid w:val="003C35FD"/>
    <w:rsid w:val="003C4906"/>
    <w:rsid w:val="003C4EC6"/>
    <w:rsid w:val="003C7274"/>
    <w:rsid w:val="003D087B"/>
    <w:rsid w:val="003D09BD"/>
    <w:rsid w:val="003D0B44"/>
    <w:rsid w:val="003D4150"/>
    <w:rsid w:val="003D4E05"/>
    <w:rsid w:val="003D4EF3"/>
    <w:rsid w:val="003D581C"/>
    <w:rsid w:val="003D5E83"/>
    <w:rsid w:val="003D6FE4"/>
    <w:rsid w:val="003D7B55"/>
    <w:rsid w:val="003D7FD1"/>
    <w:rsid w:val="003E00A1"/>
    <w:rsid w:val="003E07ED"/>
    <w:rsid w:val="003E0CA6"/>
    <w:rsid w:val="003E0ED9"/>
    <w:rsid w:val="003E0FF1"/>
    <w:rsid w:val="003E12CE"/>
    <w:rsid w:val="003E4F0A"/>
    <w:rsid w:val="003E55DB"/>
    <w:rsid w:val="003E5963"/>
    <w:rsid w:val="003E5B6C"/>
    <w:rsid w:val="003E5EA7"/>
    <w:rsid w:val="003E75BC"/>
    <w:rsid w:val="003E7E3B"/>
    <w:rsid w:val="003F07C7"/>
    <w:rsid w:val="003F0D97"/>
    <w:rsid w:val="003F1503"/>
    <w:rsid w:val="003F155B"/>
    <w:rsid w:val="003F3420"/>
    <w:rsid w:val="003F577C"/>
    <w:rsid w:val="003F6160"/>
    <w:rsid w:val="003F70EB"/>
    <w:rsid w:val="003F72B2"/>
    <w:rsid w:val="004016D4"/>
    <w:rsid w:val="00401BE9"/>
    <w:rsid w:val="00403B31"/>
    <w:rsid w:val="004057AA"/>
    <w:rsid w:val="0040587E"/>
    <w:rsid w:val="00406BCF"/>
    <w:rsid w:val="00407BB9"/>
    <w:rsid w:val="004110CA"/>
    <w:rsid w:val="00411960"/>
    <w:rsid w:val="00411A19"/>
    <w:rsid w:val="0041219A"/>
    <w:rsid w:val="0041279C"/>
    <w:rsid w:val="00413414"/>
    <w:rsid w:val="00413D0A"/>
    <w:rsid w:val="004153B9"/>
    <w:rsid w:val="004174AC"/>
    <w:rsid w:val="0041762D"/>
    <w:rsid w:val="0042136F"/>
    <w:rsid w:val="004229AA"/>
    <w:rsid w:val="00425DEB"/>
    <w:rsid w:val="0042637D"/>
    <w:rsid w:val="00426A42"/>
    <w:rsid w:val="00426D94"/>
    <w:rsid w:val="00427F8C"/>
    <w:rsid w:val="00430816"/>
    <w:rsid w:val="00431DB0"/>
    <w:rsid w:val="004337F2"/>
    <w:rsid w:val="00433ED2"/>
    <w:rsid w:val="00435052"/>
    <w:rsid w:val="00436150"/>
    <w:rsid w:val="00440EAF"/>
    <w:rsid w:val="00441084"/>
    <w:rsid w:val="00441EF3"/>
    <w:rsid w:val="00442A8E"/>
    <w:rsid w:val="00443281"/>
    <w:rsid w:val="00443ABB"/>
    <w:rsid w:val="00443E64"/>
    <w:rsid w:val="004458BE"/>
    <w:rsid w:val="004464EF"/>
    <w:rsid w:val="00447EAE"/>
    <w:rsid w:val="00450918"/>
    <w:rsid w:val="00453263"/>
    <w:rsid w:val="00454FF7"/>
    <w:rsid w:val="004558B0"/>
    <w:rsid w:val="00455E25"/>
    <w:rsid w:val="004571EC"/>
    <w:rsid w:val="004572C8"/>
    <w:rsid w:val="00461F67"/>
    <w:rsid w:val="00463B2C"/>
    <w:rsid w:val="00463F95"/>
    <w:rsid w:val="004641F4"/>
    <w:rsid w:val="004643D9"/>
    <w:rsid w:val="00464FAB"/>
    <w:rsid w:val="004655FA"/>
    <w:rsid w:val="0046661B"/>
    <w:rsid w:val="00466F50"/>
    <w:rsid w:val="0046782E"/>
    <w:rsid w:val="004678F9"/>
    <w:rsid w:val="00467D8E"/>
    <w:rsid w:val="00470342"/>
    <w:rsid w:val="00470D91"/>
    <w:rsid w:val="004728C2"/>
    <w:rsid w:val="00472DFC"/>
    <w:rsid w:val="00473042"/>
    <w:rsid w:val="00473384"/>
    <w:rsid w:val="00473E44"/>
    <w:rsid w:val="0047522F"/>
    <w:rsid w:val="00475D8B"/>
    <w:rsid w:val="00476299"/>
    <w:rsid w:val="004769BB"/>
    <w:rsid w:val="00477A57"/>
    <w:rsid w:val="0048167F"/>
    <w:rsid w:val="00483E41"/>
    <w:rsid w:val="00484659"/>
    <w:rsid w:val="00485084"/>
    <w:rsid w:val="004856D5"/>
    <w:rsid w:val="00485DC9"/>
    <w:rsid w:val="004863D3"/>
    <w:rsid w:val="00486E45"/>
    <w:rsid w:val="004904D3"/>
    <w:rsid w:val="00492B53"/>
    <w:rsid w:val="00493440"/>
    <w:rsid w:val="004936E1"/>
    <w:rsid w:val="00494542"/>
    <w:rsid w:val="00495705"/>
    <w:rsid w:val="00495CFD"/>
    <w:rsid w:val="00496953"/>
    <w:rsid w:val="00497A76"/>
    <w:rsid w:val="00497E33"/>
    <w:rsid w:val="004A0DAB"/>
    <w:rsid w:val="004A1292"/>
    <w:rsid w:val="004A176D"/>
    <w:rsid w:val="004A1BFE"/>
    <w:rsid w:val="004A3BDD"/>
    <w:rsid w:val="004A4049"/>
    <w:rsid w:val="004A455D"/>
    <w:rsid w:val="004A4769"/>
    <w:rsid w:val="004A4A72"/>
    <w:rsid w:val="004A565D"/>
    <w:rsid w:val="004A5C38"/>
    <w:rsid w:val="004A6936"/>
    <w:rsid w:val="004A7216"/>
    <w:rsid w:val="004A732E"/>
    <w:rsid w:val="004B0A6C"/>
    <w:rsid w:val="004B17EC"/>
    <w:rsid w:val="004B270A"/>
    <w:rsid w:val="004B4652"/>
    <w:rsid w:val="004B47F3"/>
    <w:rsid w:val="004B60FC"/>
    <w:rsid w:val="004B65EB"/>
    <w:rsid w:val="004B7936"/>
    <w:rsid w:val="004C1EF7"/>
    <w:rsid w:val="004C21C9"/>
    <w:rsid w:val="004C4711"/>
    <w:rsid w:val="004C4757"/>
    <w:rsid w:val="004C4891"/>
    <w:rsid w:val="004C48A2"/>
    <w:rsid w:val="004C6028"/>
    <w:rsid w:val="004C7842"/>
    <w:rsid w:val="004D06E8"/>
    <w:rsid w:val="004D1BD0"/>
    <w:rsid w:val="004D1DF5"/>
    <w:rsid w:val="004D2309"/>
    <w:rsid w:val="004D36D4"/>
    <w:rsid w:val="004D55D3"/>
    <w:rsid w:val="004D6FC3"/>
    <w:rsid w:val="004E1F95"/>
    <w:rsid w:val="004E2438"/>
    <w:rsid w:val="004E3401"/>
    <w:rsid w:val="004E3803"/>
    <w:rsid w:val="004E4C68"/>
    <w:rsid w:val="004E6408"/>
    <w:rsid w:val="004E6558"/>
    <w:rsid w:val="004E7563"/>
    <w:rsid w:val="004F4426"/>
    <w:rsid w:val="004F4A75"/>
    <w:rsid w:val="004F51F8"/>
    <w:rsid w:val="004F5A79"/>
    <w:rsid w:val="004F60F5"/>
    <w:rsid w:val="004F66E6"/>
    <w:rsid w:val="00500A85"/>
    <w:rsid w:val="00500ACA"/>
    <w:rsid w:val="00501972"/>
    <w:rsid w:val="005027CA"/>
    <w:rsid w:val="00502D64"/>
    <w:rsid w:val="00504DDF"/>
    <w:rsid w:val="005051F9"/>
    <w:rsid w:val="005056D8"/>
    <w:rsid w:val="00505793"/>
    <w:rsid w:val="00505FB1"/>
    <w:rsid w:val="00507867"/>
    <w:rsid w:val="00507D9D"/>
    <w:rsid w:val="00510A3D"/>
    <w:rsid w:val="00510BE8"/>
    <w:rsid w:val="00511800"/>
    <w:rsid w:val="0051186E"/>
    <w:rsid w:val="0051191D"/>
    <w:rsid w:val="0051336A"/>
    <w:rsid w:val="00513580"/>
    <w:rsid w:val="00515707"/>
    <w:rsid w:val="00515C9F"/>
    <w:rsid w:val="00515DCF"/>
    <w:rsid w:val="00516A16"/>
    <w:rsid w:val="0051751B"/>
    <w:rsid w:val="00520328"/>
    <w:rsid w:val="00520E75"/>
    <w:rsid w:val="00521838"/>
    <w:rsid w:val="00522BA1"/>
    <w:rsid w:val="00523B23"/>
    <w:rsid w:val="00524EEC"/>
    <w:rsid w:val="0052512B"/>
    <w:rsid w:val="00525F07"/>
    <w:rsid w:val="00526CB6"/>
    <w:rsid w:val="00526E4D"/>
    <w:rsid w:val="005275C5"/>
    <w:rsid w:val="00527C1F"/>
    <w:rsid w:val="00527FDF"/>
    <w:rsid w:val="00530B10"/>
    <w:rsid w:val="005314CA"/>
    <w:rsid w:val="00532A8A"/>
    <w:rsid w:val="0053565C"/>
    <w:rsid w:val="00536895"/>
    <w:rsid w:val="005373D5"/>
    <w:rsid w:val="00537FD6"/>
    <w:rsid w:val="00541396"/>
    <w:rsid w:val="00542749"/>
    <w:rsid w:val="005450EF"/>
    <w:rsid w:val="00545EB4"/>
    <w:rsid w:val="00547300"/>
    <w:rsid w:val="00550847"/>
    <w:rsid w:val="00550D7F"/>
    <w:rsid w:val="00550E29"/>
    <w:rsid w:val="0055144E"/>
    <w:rsid w:val="00551771"/>
    <w:rsid w:val="005523DD"/>
    <w:rsid w:val="00552550"/>
    <w:rsid w:val="00553704"/>
    <w:rsid w:val="0055385A"/>
    <w:rsid w:val="00554EE4"/>
    <w:rsid w:val="00557871"/>
    <w:rsid w:val="0056130E"/>
    <w:rsid w:val="00562368"/>
    <w:rsid w:val="00562C90"/>
    <w:rsid w:val="00562ECF"/>
    <w:rsid w:val="00562F01"/>
    <w:rsid w:val="005630E9"/>
    <w:rsid w:val="005630F9"/>
    <w:rsid w:val="00563354"/>
    <w:rsid w:val="00564073"/>
    <w:rsid w:val="00565741"/>
    <w:rsid w:val="00565B3F"/>
    <w:rsid w:val="00566156"/>
    <w:rsid w:val="00566A43"/>
    <w:rsid w:val="00573783"/>
    <w:rsid w:val="00573FD8"/>
    <w:rsid w:val="005746C3"/>
    <w:rsid w:val="005756AC"/>
    <w:rsid w:val="00575C4B"/>
    <w:rsid w:val="00575DDB"/>
    <w:rsid w:val="00575F18"/>
    <w:rsid w:val="00576715"/>
    <w:rsid w:val="00580411"/>
    <w:rsid w:val="005811A1"/>
    <w:rsid w:val="00581464"/>
    <w:rsid w:val="0058159B"/>
    <w:rsid w:val="00582475"/>
    <w:rsid w:val="00582C12"/>
    <w:rsid w:val="00582D9A"/>
    <w:rsid w:val="005831B9"/>
    <w:rsid w:val="00583469"/>
    <w:rsid w:val="0058375C"/>
    <w:rsid w:val="00584075"/>
    <w:rsid w:val="005858F8"/>
    <w:rsid w:val="00586B8D"/>
    <w:rsid w:val="00590C24"/>
    <w:rsid w:val="00592C9E"/>
    <w:rsid w:val="00593364"/>
    <w:rsid w:val="00594FC6"/>
    <w:rsid w:val="00596309"/>
    <w:rsid w:val="005973ED"/>
    <w:rsid w:val="00597C1E"/>
    <w:rsid w:val="005A0181"/>
    <w:rsid w:val="005A01C1"/>
    <w:rsid w:val="005A0CD2"/>
    <w:rsid w:val="005A226F"/>
    <w:rsid w:val="005A3027"/>
    <w:rsid w:val="005A316A"/>
    <w:rsid w:val="005B3E3D"/>
    <w:rsid w:val="005B456E"/>
    <w:rsid w:val="005B61BE"/>
    <w:rsid w:val="005B6CBB"/>
    <w:rsid w:val="005B6DC4"/>
    <w:rsid w:val="005B7503"/>
    <w:rsid w:val="005C0220"/>
    <w:rsid w:val="005C08A8"/>
    <w:rsid w:val="005C1AE7"/>
    <w:rsid w:val="005C2754"/>
    <w:rsid w:val="005C3A05"/>
    <w:rsid w:val="005C3E1A"/>
    <w:rsid w:val="005C4739"/>
    <w:rsid w:val="005C7379"/>
    <w:rsid w:val="005C7F8D"/>
    <w:rsid w:val="005D047E"/>
    <w:rsid w:val="005D08F5"/>
    <w:rsid w:val="005D125E"/>
    <w:rsid w:val="005D1540"/>
    <w:rsid w:val="005D25F4"/>
    <w:rsid w:val="005D26E1"/>
    <w:rsid w:val="005D27FA"/>
    <w:rsid w:val="005D3957"/>
    <w:rsid w:val="005D5DA1"/>
    <w:rsid w:val="005D68DD"/>
    <w:rsid w:val="005D7416"/>
    <w:rsid w:val="005D796A"/>
    <w:rsid w:val="005D79D8"/>
    <w:rsid w:val="005E05FE"/>
    <w:rsid w:val="005E0B83"/>
    <w:rsid w:val="005E154B"/>
    <w:rsid w:val="005E19D0"/>
    <w:rsid w:val="005E205C"/>
    <w:rsid w:val="005E2091"/>
    <w:rsid w:val="005E2717"/>
    <w:rsid w:val="005E49FF"/>
    <w:rsid w:val="005E4BD6"/>
    <w:rsid w:val="005E5963"/>
    <w:rsid w:val="005E5981"/>
    <w:rsid w:val="005F0969"/>
    <w:rsid w:val="005F1F74"/>
    <w:rsid w:val="005F6925"/>
    <w:rsid w:val="005F6C24"/>
    <w:rsid w:val="005F6F2D"/>
    <w:rsid w:val="005F703C"/>
    <w:rsid w:val="005F7C38"/>
    <w:rsid w:val="00604653"/>
    <w:rsid w:val="00604AFF"/>
    <w:rsid w:val="006073B2"/>
    <w:rsid w:val="006075D0"/>
    <w:rsid w:val="00607AA7"/>
    <w:rsid w:val="00610182"/>
    <w:rsid w:val="00611819"/>
    <w:rsid w:val="0061188B"/>
    <w:rsid w:val="00611BD0"/>
    <w:rsid w:val="00612589"/>
    <w:rsid w:val="0061262A"/>
    <w:rsid w:val="00613BD7"/>
    <w:rsid w:val="006141D5"/>
    <w:rsid w:val="00614CA8"/>
    <w:rsid w:val="0061527C"/>
    <w:rsid w:val="0061687C"/>
    <w:rsid w:val="006170B5"/>
    <w:rsid w:val="00617FA5"/>
    <w:rsid w:val="00623391"/>
    <w:rsid w:val="006239A2"/>
    <w:rsid w:val="006247C3"/>
    <w:rsid w:val="00624981"/>
    <w:rsid w:val="00626235"/>
    <w:rsid w:val="00631931"/>
    <w:rsid w:val="00633581"/>
    <w:rsid w:val="00633B46"/>
    <w:rsid w:val="00633FEF"/>
    <w:rsid w:val="0063599E"/>
    <w:rsid w:val="00636F80"/>
    <w:rsid w:val="00640561"/>
    <w:rsid w:val="0064366C"/>
    <w:rsid w:val="00644074"/>
    <w:rsid w:val="006441BC"/>
    <w:rsid w:val="00644DB4"/>
    <w:rsid w:val="0064718C"/>
    <w:rsid w:val="006472DF"/>
    <w:rsid w:val="00650737"/>
    <w:rsid w:val="00651D69"/>
    <w:rsid w:val="00652EEE"/>
    <w:rsid w:val="00653A30"/>
    <w:rsid w:val="00654EE4"/>
    <w:rsid w:val="00656750"/>
    <w:rsid w:val="006567A9"/>
    <w:rsid w:val="00656F62"/>
    <w:rsid w:val="00657D4F"/>
    <w:rsid w:val="006603BA"/>
    <w:rsid w:val="00661672"/>
    <w:rsid w:val="00661A74"/>
    <w:rsid w:val="006624C4"/>
    <w:rsid w:val="00663F37"/>
    <w:rsid w:val="00665FAA"/>
    <w:rsid w:val="006675FF"/>
    <w:rsid w:val="006706F8"/>
    <w:rsid w:val="00671244"/>
    <w:rsid w:val="006728BD"/>
    <w:rsid w:val="00672CF8"/>
    <w:rsid w:val="00673396"/>
    <w:rsid w:val="00673479"/>
    <w:rsid w:val="0067347B"/>
    <w:rsid w:val="00673670"/>
    <w:rsid w:val="00673A1E"/>
    <w:rsid w:val="00675B71"/>
    <w:rsid w:val="00676EA8"/>
    <w:rsid w:val="00676FB9"/>
    <w:rsid w:val="00676FBF"/>
    <w:rsid w:val="0067766B"/>
    <w:rsid w:val="006805FD"/>
    <w:rsid w:val="00681157"/>
    <w:rsid w:val="00682643"/>
    <w:rsid w:val="00683A4C"/>
    <w:rsid w:val="006842B0"/>
    <w:rsid w:val="006853C4"/>
    <w:rsid w:val="00685714"/>
    <w:rsid w:val="00686739"/>
    <w:rsid w:val="00686F6A"/>
    <w:rsid w:val="00687A2F"/>
    <w:rsid w:val="00687D77"/>
    <w:rsid w:val="00690517"/>
    <w:rsid w:val="00691438"/>
    <w:rsid w:val="00691D9B"/>
    <w:rsid w:val="00691DFA"/>
    <w:rsid w:val="00692274"/>
    <w:rsid w:val="00692277"/>
    <w:rsid w:val="00692492"/>
    <w:rsid w:val="006924CA"/>
    <w:rsid w:val="00693974"/>
    <w:rsid w:val="00693D0A"/>
    <w:rsid w:val="0069737B"/>
    <w:rsid w:val="0069741B"/>
    <w:rsid w:val="006A06D9"/>
    <w:rsid w:val="006A1E95"/>
    <w:rsid w:val="006A2169"/>
    <w:rsid w:val="006A2442"/>
    <w:rsid w:val="006A44BA"/>
    <w:rsid w:val="006A5331"/>
    <w:rsid w:val="006A695D"/>
    <w:rsid w:val="006A6F51"/>
    <w:rsid w:val="006A77E2"/>
    <w:rsid w:val="006B0B47"/>
    <w:rsid w:val="006B1FEB"/>
    <w:rsid w:val="006B36C7"/>
    <w:rsid w:val="006B4AAD"/>
    <w:rsid w:val="006B51B7"/>
    <w:rsid w:val="006B5458"/>
    <w:rsid w:val="006B54C4"/>
    <w:rsid w:val="006B5AE3"/>
    <w:rsid w:val="006B5B60"/>
    <w:rsid w:val="006B62AE"/>
    <w:rsid w:val="006B66FB"/>
    <w:rsid w:val="006B6862"/>
    <w:rsid w:val="006B75E6"/>
    <w:rsid w:val="006C0F6C"/>
    <w:rsid w:val="006C17E5"/>
    <w:rsid w:val="006C1829"/>
    <w:rsid w:val="006C24A0"/>
    <w:rsid w:val="006C346E"/>
    <w:rsid w:val="006C5245"/>
    <w:rsid w:val="006D00C5"/>
    <w:rsid w:val="006D02FD"/>
    <w:rsid w:val="006D0DB1"/>
    <w:rsid w:val="006D14AC"/>
    <w:rsid w:val="006D242E"/>
    <w:rsid w:val="006D2515"/>
    <w:rsid w:val="006D37C6"/>
    <w:rsid w:val="006D3927"/>
    <w:rsid w:val="006D48BE"/>
    <w:rsid w:val="006D4E2A"/>
    <w:rsid w:val="006D4F76"/>
    <w:rsid w:val="006D56C0"/>
    <w:rsid w:val="006D593A"/>
    <w:rsid w:val="006D73E5"/>
    <w:rsid w:val="006D7438"/>
    <w:rsid w:val="006D7C62"/>
    <w:rsid w:val="006E06D3"/>
    <w:rsid w:val="006E3068"/>
    <w:rsid w:val="006E46EF"/>
    <w:rsid w:val="006E4A84"/>
    <w:rsid w:val="006E5891"/>
    <w:rsid w:val="006E5A28"/>
    <w:rsid w:val="006E5BC6"/>
    <w:rsid w:val="006E65A5"/>
    <w:rsid w:val="006E7625"/>
    <w:rsid w:val="006E7D44"/>
    <w:rsid w:val="006F0270"/>
    <w:rsid w:val="006F0294"/>
    <w:rsid w:val="006F17DE"/>
    <w:rsid w:val="006F20E2"/>
    <w:rsid w:val="006F25BD"/>
    <w:rsid w:val="006F6D90"/>
    <w:rsid w:val="006F70A2"/>
    <w:rsid w:val="006F77EB"/>
    <w:rsid w:val="00701C07"/>
    <w:rsid w:val="0070213E"/>
    <w:rsid w:val="00703439"/>
    <w:rsid w:val="00703A27"/>
    <w:rsid w:val="007050AF"/>
    <w:rsid w:val="00705781"/>
    <w:rsid w:val="00706BF2"/>
    <w:rsid w:val="00710632"/>
    <w:rsid w:val="007107C5"/>
    <w:rsid w:val="00710DF7"/>
    <w:rsid w:val="007115C7"/>
    <w:rsid w:val="00711FF6"/>
    <w:rsid w:val="00712B03"/>
    <w:rsid w:val="00713CB4"/>
    <w:rsid w:val="007142FB"/>
    <w:rsid w:val="00715566"/>
    <w:rsid w:val="00716147"/>
    <w:rsid w:val="00720182"/>
    <w:rsid w:val="00722217"/>
    <w:rsid w:val="00723ADB"/>
    <w:rsid w:val="0072419E"/>
    <w:rsid w:val="00724A3A"/>
    <w:rsid w:val="00725E7E"/>
    <w:rsid w:val="007261D4"/>
    <w:rsid w:val="00726215"/>
    <w:rsid w:val="00726453"/>
    <w:rsid w:val="0073004D"/>
    <w:rsid w:val="00730196"/>
    <w:rsid w:val="0073068B"/>
    <w:rsid w:val="00730A97"/>
    <w:rsid w:val="00731372"/>
    <w:rsid w:val="007315C4"/>
    <w:rsid w:val="00733123"/>
    <w:rsid w:val="0073360D"/>
    <w:rsid w:val="00733BD8"/>
    <w:rsid w:val="00734562"/>
    <w:rsid w:val="00735D3F"/>
    <w:rsid w:val="00740399"/>
    <w:rsid w:val="007406CD"/>
    <w:rsid w:val="00741B86"/>
    <w:rsid w:val="007426AD"/>
    <w:rsid w:val="00742DB1"/>
    <w:rsid w:val="00742F30"/>
    <w:rsid w:val="0074315A"/>
    <w:rsid w:val="0074516A"/>
    <w:rsid w:val="007451A3"/>
    <w:rsid w:val="00745980"/>
    <w:rsid w:val="0074604A"/>
    <w:rsid w:val="00750890"/>
    <w:rsid w:val="00750F4C"/>
    <w:rsid w:val="007517FB"/>
    <w:rsid w:val="007525D2"/>
    <w:rsid w:val="00752D7A"/>
    <w:rsid w:val="00756275"/>
    <w:rsid w:val="00756DE3"/>
    <w:rsid w:val="0076126F"/>
    <w:rsid w:val="007612B3"/>
    <w:rsid w:val="00761F81"/>
    <w:rsid w:val="007624C2"/>
    <w:rsid w:val="00762FD6"/>
    <w:rsid w:val="00763DD0"/>
    <w:rsid w:val="00764B4C"/>
    <w:rsid w:val="00764D4B"/>
    <w:rsid w:val="007659DA"/>
    <w:rsid w:val="007667F4"/>
    <w:rsid w:val="00766D99"/>
    <w:rsid w:val="00767EEC"/>
    <w:rsid w:val="00770D09"/>
    <w:rsid w:val="00771E5B"/>
    <w:rsid w:val="00771F28"/>
    <w:rsid w:val="0077261D"/>
    <w:rsid w:val="00772B55"/>
    <w:rsid w:val="007733A1"/>
    <w:rsid w:val="007745FD"/>
    <w:rsid w:val="0077503C"/>
    <w:rsid w:val="00775886"/>
    <w:rsid w:val="00775B44"/>
    <w:rsid w:val="00775CDB"/>
    <w:rsid w:val="0077624C"/>
    <w:rsid w:val="0077632E"/>
    <w:rsid w:val="00776833"/>
    <w:rsid w:val="007774F2"/>
    <w:rsid w:val="00777F25"/>
    <w:rsid w:val="007802DE"/>
    <w:rsid w:val="00780567"/>
    <w:rsid w:val="00781712"/>
    <w:rsid w:val="007817C9"/>
    <w:rsid w:val="00782573"/>
    <w:rsid w:val="00782961"/>
    <w:rsid w:val="00783031"/>
    <w:rsid w:val="007831FD"/>
    <w:rsid w:val="0078412F"/>
    <w:rsid w:val="007843C8"/>
    <w:rsid w:val="00785FBD"/>
    <w:rsid w:val="00787946"/>
    <w:rsid w:val="00790648"/>
    <w:rsid w:val="00790B92"/>
    <w:rsid w:val="0079159A"/>
    <w:rsid w:val="00791757"/>
    <w:rsid w:val="007926AE"/>
    <w:rsid w:val="0079271A"/>
    <w:rsid w:val="0079316E"/>
    <w:rsid w:val="00793C67"/>
    <w:rsid w:val="007941B5"/>
    <w:rsid w:val="00795496"/>
    <w:rsid w:val="00796C88"/>
    <w:rsid w:val="007979E5"/>
    <w:rsid w:val="007A0B00"/>
    <w:rsid w:val="007A1C4E"/>
    <w:rsid w:val="007A2218"/>
    <w:rsid w:val="007A2656"/>
    <w:rsid w:val="007A2C1A"/>
    <w:rsid w:val="007A2CF2"/>
    <w:rsid w:val="007A30E1"/>
    <w:rsid w:val="007A3638"/>
    <w:rsid w:val="007A6CDF"/>
    <w:rsid w:val="007A7CE4"/>
    <w:rsid w:val="007B2D84"/>
    <w:rsid w:val="007B312D"/>
    <w:rsid w:val="007B4DB8"/>
    <w:rsid w:val="007B4E07"/>
    <w:rsid w:val="007B570B"/>
    <w:rsid w:val="007B62F8"/>
    <w:rsid w:val="007B662A"/>
    <w:rsid w:val="007B6B08"/>
    <w:rsid w:val="007C03F2"/>
    <w:rsid w:val="007C1D18"/>
    <w:rsid w:val="007C243A"/>
    <w:rsid w:val="007C2D2E"/>
    <w:rsid w:val="007C2E1F"/>
    <w:rsid w:val="007C533A"/>
    <w:rsid w:val="007C7612"/>
    <w:rsid w:val="007D0F32"/>
    <w:rsid w:val="007D318E"/>
    <w:rsid w:val="007E09BE"/>
    <w:rsid w:val="007E0D9E"/>
    <w:rsid w:val="007E2459"/>
    <w:rsid w:val="007E2D9F"/>
    <w:rsid w:val="007E31A7"/>
    <w:rsid w:val="007E536C"/>
    <w:rsid w:val="007E5623"/>
    <w:rsid w:val="007E57D4"/>
    <w:rsid w:val="007E5CF7"/>
    <w:rsid w:val="007E6F4F"/>
    <w:rsid w:val="007E73FB"/>
    <w:rsid w:val="007F0D96"/>
    <w:rsid w:val="007F1129"/>
    <w:rsid w:val="007F30FD"/>
    <w:rsid w:val="007F3208"/>
    <w:rsid w:val="007F36EA"/>
    <w:rsid w:val="007F3C97"/>
    <w:rsid w:val="007F6CFD"/>
    <w:rsid w:val="0080232A"/>
    <w:rsid w:val="00802ECC"/>
    <w:rsid w:val="00804DEB"/>
    <w:rsid w:val="00805E9A"/>
    <w:rsid w:val="00806D61"/>
    <w:rsid w:val="00810C60"/>
    <w:rsid w:val="00810CA6"/>
    <w:rsid w:val="00810F87"/>
    <w:rsid w:val="008110BE"/>
    <w:rsid w:val="008115BD"/>
    <w:rsid w:val="008147C0"/>
    <w:rsid w:val="00814B11"/>
    <w:rsid w:val="00814F9E"/>
    <w:rsid w:val="00817226"/>
    <w:rsid w:val="00822070"/>
    <w:rsid w:val="00822302"/>
    <w:rsid w:val="00822A68"/>
    <w:rsid w:val="00822DAE"/>
    <w:rsid w:val="00822EDA"/>
    <w:rsid w:val="00824E50"/>
    <w:rsid w:val="00825AD9"/>
    <w:rsid w:val="00825D7F"/>
    <w:rsid w:val="00826E5A"/>
    <w:rsid w:val="008327C5"/>
    <w:rsid w:val="00832E09"/>
    <w:rsid w:val="00833D4F"/>
    <w:rsid w:val="00834624"/>
    <w:rsid w:val="00834FD4"/>
    <w:rsid w:val="00835B0D"/>
    <w:rsid w:val="0083632D"/>
    <w:rsid w:val="008373FA"/>
    <w:rsid w:val="008403D1"/>
    <w:rsid w:val="008403FC"/>
    <w:rsid w:val="00841EDE"/>
    <w:rsid w:val="00843B5C"/>
    <w:rsid w:val="00846A48"/>
    <w:rsid w:val="00847EF2"/>
    <w:rsid w:val="00850A6E"/>
    <w:rsid w:val="00850AE7"/>
    <w:rsid w:val="00851506"/>
    <w:rsid w:val="008519DB"/>
    <w:rsid w:val="00851BAB"/>
    <w:rsid w:val="00851BCA"/>
    <w:rsid w:val="00852181"/>
    <w:rsid w:val="0085304C"/>
    <w:rsid w:val="00853CDF"/>
    <w:rsid w:val="00853F7E"/>
    <w:rsid w:val="00854140"/>
    <w:rsid w:val="00854934"/>
    <w:rsid w:val="00854B53"/>
    <w:rsid w:val="00855500"/>
    <w:rsid w:val="008564C2"/>
    <w:rsid w:val="00856B28"/>
    <w:rsid w:val="00857B8E"/>
    <w:rsid w:val="00857D39"/>
    <w:rsid w:val="00860D7F"/>
    <w:rsid w:val="00863748"/>
    <w:rsid w:val="00863960"/>
    <w:rsid w:val="00863EAE"/>
    <w:rsid w:val="00864C0C"/>
    <w:rsid w:val="00864FFA"/>
    <w:rsid w:val="00865EF0"/>
    <w:rsid w:val="008669BF"/>
    <w:rsid w:val="00867864"/>
    <w:rsid w:val="00867CB2"/>
    <w:rsid w:val="00871863"/>
    <w:rsid w:val="008739B2"/>
    <w:rsid w:val="00873C06"/>
    <w:rsid w:val="00874047"/>
    <w:rsid w:val="00875316"/>
    <w:rsid w:val="00875909"/>
    <w:rsid w:val="0087616D"/>
    <w:rsid w:val="00876F79"/>
    <w:rsid w:val="00881DEA"/>
    <w:rsid w:val="00882100"/>
    <w:rsid w:val="008822BF"/>
    <w:rsid w:val="00883952"/>
    <w:rsid w:val="00884327"/>
    <w:rsid w:val="00884BC9"/>
    <w:rsid w:val="0088533F"/>
    <w:rsid w:val="008854D1"/>
    <w:rsid w:val="0088595A"/>
    <w:rsid w:val="00885C09"/>
    <w:rsid w:val="008861C3"/>
    <w:rsid w:val="008861CC"/>
    <w:rsid w:val="00886299"/>
    <w:rsid w:val="00886BFE"/>
    <w:rsid w:val="00886F32"/>
    <w:rsid w:val="00887306"/>
    <w:rsid w:val="00887BAC"/>
    <w:rsid w:val="00887DDC"/>
    <w:rsid w:val="008900E5"/>
    <w:rsid w:val="0089153E"/>
    <w:rsid w:val="008945CE"/>
    <w:rsid w:val="008967E2"/>
    <w:rsid w:val="00896D0F"/>
    <w:rsid w:val="00897FF6"/>
    <w:rsid w:val="008A0CD0"/>
    <w:rsid w:val="008A1165"/>
    <w:rsid w:val="008A1D36"/>
    <w:rsid w:val="008A1EF1"/>
    <w:rsid w:val="008A2477"/>
    <w:rsid w:val="008A40CB"/>
    <w:rsid w:val="008A5876"/>
    <w:rsid w:val="008A627E"/>
    <w:rsid w:val="008A6A90"/>
    <w:rsid w:val="008A7822"/>
    <w:rsid w:val="008B05E5"/>
    <w:rsid w:val="008B2569"/>
    <w:rsid w:val="008B2B32"/>
    <w:rsid w:val="008B4ED9"/>
    <w:rsid w:val="008B54AD"/>
    <w:rsid w:val="008B5D6B"/>
    <w:rsid w:val="008B63F9"/>
    <w:rsid w:val="008B7435"/>
    <w:rsid w:val="008B7CA4"/>
    <w:rsid w:val="008C017C"/>
    <w:rsid w:val="008C0B6A"/>
    <w:rsid w:val="008C11CC"/>
    <w:rsid w:val="008C1AFC"/>
    <w:rsid w:val="008C2500"/>
    <w:rsid w:val="008C2A5E"/>
    <w:rsid w:val="008C2B5D"/>
    <w:rsid w:val="008C3E43"/>
    <w:rsid w:val="008C461B"/>
    <w:rsid w:val="008C4B1E"/>
    <w:rsid w:val="008C4BC1"/>
    <w:rsid w:val="008C5674"/>
    <w:rsid w:val="008C5848"/>
    <w:rsid w:val="008C655A"/>
    <w:rsid w:val="008C6E4E"/>
    <w:rsid w:val="008C7AA2"/>
    <w:rsid w:val="008D04E2"/>
    <w:rsid w:val="008D0A66"/>
    <w:rsid w:val="008D0DC4"/>
    <w:rsid w:val="008D2FD6"/>
    <w:rsid w:val="008D3860"/>
    <w:rsid w:val="008D4384"/>
    <w:rsid w:val="008D4F12"/>
    <w:rsid w:val="008D56BF"/>
    <w:rsid w:val="008D7B77"/>
    <w:rsid w:val="008D7EF2"/>
    <w:rsid w:val="008E047E"/>
    <w:rsid w:val="008E2918"/>
    <w:rsid w:val="008E2A5D"/>
    <w:rsid w:val="008E2B91"/>
    <w:rsid w:val="008E2D1F"/>
    <w:rsid w:val="008E426F"/>
    <w:rsid w:val="008E5ED7"/>
    <w:rsid w:val="008E5F25"/>
    <w:rsid w:val="008E6921"/>
    <w:rsid w:val="008E6C32"/>
    <w:rsid w:val="008E6DF8"/>
    <w:rsid w:val="008F006E"/>
    <w:rsid w:val="008F3134"/>
    <w:rsid w:val="008F342C"/>
    <w:rsid w:val="008F5528"/>
    <w:rsid w:val="008F55D1"/>
    <w:rsid w:val="008F65A5"/>
    <w:rsid w:val="008F7B1C"/>
    <w:rsid w:val="008F7E4E"/>
    <w:rsid w:val="00900B53"/>
    <w:rsid w:val="009043A6"/>
    <w:rsid w:val="00905DCF"/>
    <w:rsid w:val="0090617C"/>
    <w:rsid w:val="00906422"/>
    <w:rsid w:val="009069B5"/>
    <w:rsid w:val="00906B62"/>
    <w:rsid w:val="0090700F"/>
    <w:rsid w:val="009102C9"/>
    <w:rsid w:val="0091278B"/>
    <w:rsid w:val="00912C16"/>
    <w:rsid w:val="00913663"/>
    <w:rsid w:val="00913AEA"/>
    <w:rsid w:val="00913B9B"/>
    <w:rsid w:val="009153CE"/>
    <w:rsid w:val="00915863"/>
    <w:rsid w:val="00915DC0"/>
    <w:rsid w:val="009171FB"/>
    <w:rsid w:val="0092015F"/>
    <w:rsid w:val="00920D3E"/>
    <w:rsid w:val="00921068"/>
    <w:rsid w:val="00921B3C"/>
    <w:rsid w:val="00921D30"/>
    <w:rsid w:val="009224A8"/>
    <w:rsid w:val="0092271C"/>
    <w:rsid w:val="00922BBD"/>
    <w:rsid w:val="00922BF3"/>
    <w:rsid w:val="00922D94"/>
    <w:rsid w:val="00922F25"/>
    <w:rsid w:val="00924A5F"/>
    <w:rsid w:val="00926DEF"/>
    <w:rsid w:val="00926E43"/>
    <w:rsid w:val="009301EC"/>
    <w:rsid w:val="0093087A"/>
    <w:rsid w:val="0093132C"/>
    <w:rsid w:val="00931C84"/>
    <w:rsid w:val="00932E79"/>
    <w:rsid w:val="00934228"/>
    <w:rsid w:val="009361E9"/>
    <w:rsid w:val="009370F3"/>
    <w:rsid w:val="00937FBA"/>
    <w:rsid w:val="00940E70"/>
    <w:rsid w:val="00941502"/>
    <w:rsid w:val="00943F8A"/>
    <w:rsid w:val="00946E1C"/>
    <w:rsid w:val="009475E8"/>
    <w:rsid w:val="00947C69"/>
    <w:rsid w:val="00950255"/>
    <w:rsid w:val="0095079C"/>
    <w:rsid w:val="00950E31"/>
    <w:rsid w:val="0095230C"/>
    <w:rsid w:val="009527D3"/>
    <w:rsid w:val="009552B4"/>
    <w:rsid w:val="009564A4"/>
    <w:rsid w:val="00957BF5"/>
    <w:rsid w:val="00960D64"/>
    <w:rsid w:val="00962540"/>
    <w:rsid w:val="00964760"/>
    <w:rsid w:val="00964A92"/>
    <w:rsid w:val="0096552D"/>
    <w:rsid w:val="00965C9A"/>
    <w:rsid w:val="00965E4D"/>
    <w:rsid w:val="009678B1"/>
    <w:rsid w:val="00971796"/>
    <w:rsid w:val="00971ADC"/>
    <w:rsid w:val="009723B1"/>
    <w:rsid w:val="00972687"/>
    <w:rsid w:val="00972FE2"/>
    <w:rsid w:val="00973FF4"/>
    <w:rsid w:val="00974507"/>
    <w:rsid w:val="009767DB"/>
    <w:rsid w:val="00976817"/>
    <w:rsid w:val="0097698F"/>
    <w:rsid w:val="00977341"/>
    <w:rsid w:val="009776A3"/>
    <w:rsid w:val="009807DC"/>
    <w:rsid w:val="00981515"/>
    <w:rsid w:val="00981D2A"/>
    <w:rsid w:val="00983B6D"/>
    <w:rsid w:val="00983EB6"/>
    <w:rsid w:val="009848F5"/>
    <w:rsid w:val="00985659"/>
    <w:rsid w:val="0098601B"/>
    <w:rsid w:val="0098648E"/>
    <w:rsid w:val="00986B5A"/>
    <w:rsid w:val="00990913"/>
    <w:rsid w:val="00990D14"/>
    <w:rsid w:val="00990F77"/>
    <w:rsid w:val="009911C0"/>
    <w:rsid w:val="0099123F"/>
    <w:rsid w:val="00992087"/>
    <w:rsid w:val="00993843"/>
    <w:rsid w:val="00994735"/>
    <w:rsid w:val="0099488A"/>
    <w:rsid w:val="00994A64"/>
    <w:rsid w:val="00994DC9"/>
    <w:rsid w:val="00995C3A"/>
    <w:rsid w:val="00996614"/>
    <w:rsid w:val="00997876"/>
    <w:rsid w:val="00997D95"/>
    <w:rsid w:val="009A0140"/>
    <w:rsid w:val="009A251D"/>
    <w:rsid w:val="009A2A48"/>
    <w:rsid w:val="009A324B"/>
    <w:rsid w:val="009A3587"/>
    <w:rsid w:val="009A37F0"/>
    <w:rsid w:val="009A45E5"/>
    <w:rsid w:val="009A4B26"/>
    <w:rsid w:val="009A54DE"/>
    <w:rsid w:val="009A54F1"/>
    <w:rsid w:val="009A5AD4"/>
    <w:rsid w:val="009A60EE"/>
    <w:rsid w:val="009A65A7"/>
    <w:rsid w:val="009B0EFD"/>
    <w:rsid w:val="009B146B"/>
    <w:rsid w:val="009B14B3"/>
    <w:rsid w:val="009B1FFA"/>
    <w:rsid w:val="009B2041"/>
    <w:rsid w:val="009B2828"/>
    <w:rsid w:val="009B2FCD"/>
    <w:rsid w:val="009B40CB"/>
    <w:rsid w:val="009B4303"/>
    <w:rsid w:val="009B514E"/>
    <w:rsid w:val="009B5C7A"/>
    <w:rsid w:val="009B6A13"/>
    <w:rsid w:val="009B7A28"/>
    <w:rsid w:val="009C020E"/>
    <w:rsid w:val="009C0305"/>
    <w:rsid w:val="009C0E38"/>
    <w:rsid w:val="009C1774"/>
    <w:rsid w:val="009C1B20"/>
    <w:rsid w:val="009C2C0E"/>
    <w:rsid w:val="009C2DA3"/>
    <w:rsid w:val="009C452C"/>
    <w:rsid w:val="009C49BB"/>
    <w:rsid w:val="009C6AF1"/>
    <w:rsid w:val="009C704D"/>
    <w:rsid w:val="009D0A22"/>
    <w:rsid w:val="009D0FA0"/>
    <w:rsid w:val="009D16F7"/>
    <w:rsid w:val="009D1724"/>
    <w:rsid w:val="009D2854"/>
    <w:rsid w:val="009D2A5F"/>
    <w:rsid w:val="009D304F"/>
    <w:rsid w:val="009D42F2"/>
    <w:rsid w:val="009D5278"/>
    <w:rsid w:val="009D6469"/>
    <w:rsid w:val="009D6E6B"/>
    <w:rsid w:val="009D7B15"/>
    <w:rsid w:val="009E098E"/>
    <w:rsid w:val="009E0A5A"/>
    <w:rsid w:val="009E0A63"/>
    <w:rsid w:val="009E0E06"/>
    <w:rsid w:val="009E1F54"/>
    <w:rsid w:val="009E203B"/>
    <w:rsid w:val="009E3233"/>
    <w:rsid w:val="009E44D5"/>
    <w:rsid w:val="009E6208"/>
    <w:rsid w:val="009E6674"/>
    <w:rsid w:val="009E6BCE"/>
    <w:rsid w:val="009E75BB"/>
    <w:rsid w:val="009E7A16"/>
    <w:rsid w:val="009F25D9"/>
    <w:rsid w:val="009F3F8A"/>
    <w:rsid w:val="009F7316"/>
    <w:rsid w:val="00A001EB"/>
    <w:rsid w:val="00A00258"/>
    <w:rsid w:val="00A00A99"/>
    <w:rsid w:val="00A012DE"/>
    <w:rsid w:val="00A018FE"/>
    <w:rsid w:val="00A01954"/>
    <w:rsid w:val="00A023B8"/>
    <w:rsid w:val="00A03A29"/>
    <w:rsid w:val="00A0403B"/>
    <w:rsid w:val="00A04C64"/>
    <w:rsid w:val="00A04E64"/>
    <w:rsid w:val="00A0512D"/>
    <w:rsid w:val="00A05EFB"/>
    <w:rsid w:val="00A07C79"/>
    <w:rsid w:val="00A11667"/>
    <w:rsid w:val="00A12220"/>
    <w:rsid w:val="00A12573"/>
    <w:rsid w:val="00A137F6"/>
    <w:rsid w:val="00A13AF1"/>
    <w:rsid w:val="00A13D4A"/>
    <w:rsid w:val="00A14C30"/>
    <w:rsid w:val="00A14F74"/>
    <w:rsid w:val="00A15130"/>
    <w:rsid w:val="00A16A79"/>
    <w:rsid w:val="00A17326"/>
    <w:rsid w:val="00A17CA7"/>
    <w:rsid w:val="00A17EA7"/>
    <w:rsid w:val="00A20C6A"/>
    <w:rsid w:val="00A21EB5"/>
    <w:rsid w:val="00A21F2B"/>
    <w:rsid w:val="00A22377"/>
    <w:rsid w:val="00A22446"/>
    <w:rsid w:val="00A22A35"/>
    <w:rsid w:val="00A22EA4"/>
    <w:rsid w:val="00A23936"/>
    <w:rsid w:val="00A23B50"/>
    <w:rsid w:val="00A23F08"/>
    <w:rsid w:val="00A24CCE"/>
    <w:rsid w:val="00A26DED"/>
    <w:rsid w:val="00A2715A"/>
    <w:rsid w:val="00A27550"/>
    <w:rsid w:val="00A27900"/>
    <w:rsid w:val="00A30723"/>
    <w:rsid w:val="00A31770"/>
    <w:rsid w:val="00A325BC"/>
    <w:rsid w:val="00A32F40"/>
    <w:rsid w:val="00A33E38"/>
    <w:rsid w:val="00A3430C"/>
    <w:rsid w:val="00A34CB6"/>
    <w:rsid w:val="00A3551C"/>
    <w:rsid w:val="00A36486"/>
    <w:rsid w:val="00A36725"/>
    <w:rsid w:val="00A3684D"/>
    <w:rsid w:val="00A36B6F"/>
    <w:rsid w:val="00A36F3E"/>
    <w:rsid w:val="00A40C5C"/>
    <w:rsid w:val="00A41795"/>
    <w:rsid w:val="00A41B19"/>
    <w:rsid w:val="00A43CF7"/>
    <w:rsid w:val="00A43FF0"/>
    <w:rsid w:val="00A46AC1"/>
    <w:rsid w:val="00A46EF8"/>
    <w:rsid w:val="00A471A3"/>
    <w:rsid w:val="00A478A1"/>
    <w:rsid w:val="00A52468"/>
    <w:rsid w:val="00A52855"/>
    <w:rsid w:val="00A53D12"/>
    <w:rsid w:val="00A54293"/>
    <w:rsid w:val="00A5483B"/>
    <w:rsid w:val="00A55298"/>
    <w:rsid w:val="00A555A2"/>
    <w:rsid w:val="00A57C3E"/>
    <w:rsid w:val="00A6031D"/>
    <w:rsid w:val="00A60EF6"/>
    <w:rsid w:val="00A611EF"/>
    <w:rsid w:val="00A62653"/>
    <w:rsid w:val="00A63A17"/>
    <w:rsid w:val="00A64B88"/>
    <w:rsid w:val="00A65BAC"/>
    <w:rsid w:val="00A66352"/>
    <w:rsid w:val="00A6798D"/>
    <w:rsid w:val="00A70551"/>
    <w:rsid w:val="00A71335"/>
    <w:rsid w:val="00A71995"/>
    <w:rsid w:val="00A74833"/>
    <w:rsid w:val="00A759E3"/>
    <w:rsid w:val="00A763E3"/>
    <w:rsid w:val="00A8086E"/>
    <w:rsid w:val="00A8225F"/>
    <w:rsid w:val="00A82269"/>
    <w:rsid w:val="00A825CA"/>
    <w:rsid w:val="00A835D5"/>
    <w:rsid w:val="00A8377B"/>
    <w:rsid w:val="00A84476"/>
    <w:rsid w:val="00A85244"/>
    <w:rsid w:val="00A854F3"/>
    <w:rsid w:val="00A85A87"/>
    <w:rsid w:val="00A85DC2"/>
    <w:rsid w:val="00A867A8"/>
    <w:rsid w:val="00A9165D"/>
    <w:rsid w:val="00A91CB8"/>
    <w:rsid w:val="00A92C82"/>
    <w:rsid w:val="00A93BCC"/>
    <w:rsid w:val="00A94542"/>
    <w:rsid w:val="00A94F3C"/>
    <w:rsid w:val="00A951D6"/>
    <w:rsid w:val="00A9542D"/>
    <w:rsid w:val="00A9559B"/>
    <w:rsid w:val="00A9610B"/>
    <w:rsid w:val="00A9688D"/>
    <w:rsid w:val="00AA1201"/>
    <w:rsid w:val="00AA153E"/>
    <w:rsid w:val="00AA1709"/>
    <w:rsid w:val="00AA1AF5"/>
    <w:rsid w:val="00AA23C8"/>
    <w:rsid w:val="00AA2BE8"/>
    <w:rsid w:val="00AA2E8C"/>
    <w:rsid w:val="00AA390E"/>
    <w:rsid w:val="00AA57A7"/>
    <w:rsid w:val="00AA626B"/>
    <w:rsid w:val="00AA70FB"/>
    <w:rsid w:val="00AB111B"/>
    <w:rsid w:val="00AB2094"/>
    <w:rsid w:val="00AB3E73"/>
    <w:rsid w:val="00AB43E7"/>
    <w:rsid w:val="00AB4A1A"/>
    <w:rsid w:val="00AB53B0"/>
    <w:rsid w:val="00AB61D3"/>
    <w:rsid w:val="00AB6823"/>
    <w:rsid w:val="00AB6A7C"/>
    <w:rsid w:val="00AB7F79"/>
    <w:rsid w:val="00AC1967"/>
    <w:rsid w:val="00AC19E1"/>
    <w:rsid w:val="00AC30CA"/>
    <w:rsid w:val="00AC3353"/>
    <w:rsid w:val="00AC4D74"/>
    <w:rsid w:val="00AC666A"/>
    <w:rsid w:val="00AC68DF"/>
    <w:rsid w:val="00AC7CBA"/>
    <w:rsid w:val="00AC7E68"/>
    <w:rsid w:val="00AD0001"/>
    <w:rsid w:val="00AD0546"/>
    <w:rsid w:val="00AD1363"/>
    <w:rsid w:val="00AD16F4"/>
    <w:rsid w:val="00AD181E"/>
    <w:rsid w:val="00AD19EF"/>
    <w:rsid w:val="00AD21E8"/>
    <w:rsid w:val="00AD26A0"/>
    <w:rsid w:val="00AD5741"/>
    <w:rsid w:val="00AD7E3B"/>
    <w:rsid w:val="00AE0DC0"/>
    <w:rsid w:val="00AE0EEF"/>
    <w:rsid w:val="00AE178F"/>
    <w:rsid w:val="00AE181A"/>
    <w:rsid w:val="00AE1C6E"/>
    <w:rsid w:val="00AE2E99"/>
    <w:rsid w:val="00AE40A0"/>
    <w:rsid w:val="00AE4904"/>
    <w:rsid w:val="00AE4AD6"/>
    <w:rsid w:val="00AE4C33"/>
    <w:rsid w:val="00AE4FEF"/>
    <w:rsid w:val="00AE598E"/>
    <w:rsid w:val="00AE5A68"/>
    <w:rsid w:val="00AE5E9C"/>
    <w:rsid w:val="00AE6173"/>
    <w:rsid w:val="00AE73F2"/>
    <w:rsid w:val="00AF01A2"/>
    <w:rsid w:val="00AF0AF8"/>
    <w:rsid w:val="00AF0C76"/>
    <w:rsid w:val="00AF243F"/>
    <w:rsid w:val="00AF2B12"/>
    <w:rsid w:val="00AF45ED"/>
    <w:rsid w:val="00AF52B2"/>
    <w:rsid w:val="00AF6C01"/>
    <w:rsid w:val="00AF765E"/>
    <w:rsid w:val="00AF7805"/>
    <w:rsid w:val="00B01BE0"/>
    <w:rsid w:val="00B01CC1"/>
    <w:rsid w:val="00B02173"/>
    <w:rsid w:val="00B024D4"/>
    <w:rsid w:val="00B0390E"/>
    <w:rsid w:val="00B03FB7"/>
    <w:rsid w:val="00B05286"/>
    <w:rsid w:val="00B05501"/>
    <w:rsid w:val="00B060C9"/>
    <w:rsid w:val="00B10A50"/>
    <w:rsid w:val="00B10CA8"/>
    <w:rsid w:val="00B11199"/>
    <w:rsid w:val="00B12F7F"/>
    <w:rsid w:val="00B14094"/>
    <w:rsid w:val="00B14D1C"/>
    <w:rsid w:val="00B15003"/>
    <w:rsid w:val="00B153BA"/>
    <w:rsid w:val="00B168D5"/>
    <w:rsid w:val="00B16BAE"/>
    <w:rsid w:val="00B17444"/>
    <w:rsid w:val="00B17656"/>
    <w:rsid w:val="00B20035"/>
    <w:rsid w:val="00B202C4"/>
    <w:rsid w:val="00B20967"/>
    <w:rsid w:val="00B225E9"/>
    <w:rsid w:val="00B23338"/>
    <w:rsid w:val="00B2370B"/>
    <w:rsid w:val="00B238C4"/>
    <w:rsid w:val="00B24CE4"/>
    <w:rsid w:val="00B2561D"/>
    <w:rsid w:val="00B267C2"/>
    <w:rsid w:val="00B26E1E"/>
    <w:rsid w:val="00B275E2"/>
    <w:rsid w:val="00B30AD8"/>
    <w:rsid w:val="00B317D0"/>
    <w:rsid w:val="00B32427"/>
    <w:rsid w:val="00B327E2"/>
    <w:rsid w:val="00B331E3"/>
    <w:rsid w:val="00B336B9"/>
    <w:rsid w:val="00B33EA9"/>
    <w:rsid w:val="00B34FBB"/>
    <w:rsid w:val="00B35870"/>
    <w:rsid w:val="00B367CB"/>
    <w:rsid w:val="00B4374B"/>
    <w:rsid w:val="00B442E2"/>
    <w:rsid w:val="00B4570E"/>
    <w:rsid w:val="00B46E1C"/>
    <w:rsid w:val="00B470EE"/>
    <w:rsid w:val="00B509E5"/>
    <w:rsid w:val="00B51274"/>
    <w:rsid w:val="00B5182E"/>
    <w:rsid w:val="00B51FE8"/>
    <w:rsid w:val="00B52B34"/>
    <w:rsid w:val="00B54108"/>
    <w:rsid w:val="00B553BB"/>
    <w:rsid w:val="00B55647"/>
    <w:rsid w:val="00B56968"/>
    <w:rsid w:val="00B60117"/>
    <w:rsid w:val="00B6153E"/>
    <w:rsid w:val="00B6245D"/>
    <w:rsid w:val="00B624D6"/>
    <w:rsid w:val="00B6410D"/>
    <w:rsid w:val="00B64151"/>
    <w:rsid w:val="00B6518F"/>
    <w:rsid w:val="00B651D7"/>
    <w:rsid w:val="00B6592B"/>
    <w:rsid w:val="00B65EF5"/>
    <w:rsid w:val="00B669B8"/>
    <w:rsid w:val="00B66E26"/>
    <w:rsid w:val="00B67445"/>
    <w:rsid w:val="00B67A91"/>
    <w:rsid w:val="00B73AAE"/>
    <w:rsid w:val="00B73DE3"/>
    <w:rsid w:val="00B748BE"/>
    <w:rsid w:val="00B74F17"/>
    <w:rsid w:val="00B75843"/>
    <w:rsid w:val="00B7648E"/>
    <w:rsid w:val="00B80275"/>
    <w:rsid w:val="00B80F15"/>
    <w:rsid w:val="00B81091"/>
    <w:rsid w:val="00B81156"/>
    <w:rsid w:val="00B82695"/>
    <w:rsid w:val="00B83691"/>
    <w:rsid w:val="00B83A72"/>
    <w:rsid w:val="00B83BF1"/>
    <w:rsid w:val="00B8461F"/>
    <w:rsid w:val="00B84663"/>
    <w:rsid w:val="00B84704"/>
    <w:rsid w:val="00B848AC"/>
    <w:rsid w:val="00B86869"/>
    <w:rsid w:val="00B87F15"/>
    <w:rsid w:val="00B9019F"/>
    <w:rsid w:val="00B905EC"/>
    <w:rsid w:val="00B919EA"/>
    <w:rsid w:val="00B92EE8"/>
    <w:rsid w:val="00B9359A"/>
    <w:rsid w:val="00B937FE"/>
    <w:rsid w:val="00B93996"/>
    <w:rsid w:val="00B93CAA"/>
    <w:rsid w:val="00B93F9D"/>
    <w:rsid w:val="00B9468F"/>
    <w:rsid w:val="00B9520A"/>
    <w:rsid w:val="00B9746C"/>
    <w:rsid w:val="00BA0DF9"/>
    <w:rsid w:val="00BA0E2D"/>
    <w:rsid w:val="00BA19F8"/>
    <w:rsid w:val="00BA1A1C"/>
    <w:rsid w:val="00BA25EA"/>
    <w:rsid w:val="00BA340C"/>
    <w:rsid w:val="00BA3606"/>
    <w:rsid w:val="00BA4CB5"/>
    <w:rsid w:val="00BA56DD"/>
    <w:rsid w:val="00BA5EC8"/>
    <w:rsid w:val="00BA6746"/>
    <w:rsid w:val="00BA67DE"/>
    <w:rsid w:val="00BA704E"/>
    <w:rsid w:val="00BB0472"/>
    <w:rsid w:val="00BB13D9"/>
    <w:rsid w:val="00BB1472"/>
    <w:rsid w:val="00BB30E3"/>
    <w:rsid w:val="00BB3743"/>
    <w:rsid w:val="00BB3FA1"/>
    <w:rsid w:val="00BB4CF2"/>
    <w:rsid w:val="00BB51DB"/>
    <w:rsid w:val="00BB53E4"/>
    <w:rsid w:val="00BC039E"/>
    <w:rsid w:val="00BC070E"/>
    <w:rsid w:val="00BC2443"/>
    <w:rsid w:val="00BC4259"/>
    <w:rsid w:val="00BC5B2D"/>
    <w:rsid w:val="00BC704C"/>
    <w:rsid w:val="00BC7398"/>
    <w:rsid w:val="00BC7DDE"/>
    <w:rsid w:val="00BD0C82"/>
    <w:rsid w:val="00BD2D75"/>
    <w:rsid w:val="00BD462D"/>
    <w:rsid w:val="00BD47C0"/>
    <w:rsid w:val="00BD4B18"/>
    <w:rsid w:val="00BD4ECB"/>
    <w:rsid w:val="00BD4F87"/>
    <w:rsid w:val="00BD65F0"/>
    <w:rsid w:val="00BD6655"/>
    <w:rsid w:val="00BD6829"/>
    <w:rsid w:val="00BD6A14"/>
    <w:rsid w:val="00BD77C6"/>
    <w:rsid w:val="00BE03A6"/>
    <w:rsid w:val="00BE04B9"/>
    <w:rsid w:val="00BE06EC"/>
    <w:rsid w:val="00BE1833"/>
    <w:rsid w:val="00BE1E2E"/>
    <w:rsid w:val="00BE2A5F"/>
    <w:rsid w:val="00BE2C4A"/>
    <w:rsid w:val="00BE3467"/>
    <w:rsid w:val="00BE4821"/>
    <w:rsid w:val="00BE5E8D"/>
    <w:rsid w:val="00BE5E90"/>
    <w:rsid w:val="00BE65A8"/>
    <w:rsid w:val="00BE7383"/>
    <w:rsid w:val="00BF03CD"/>
    <w:rsid w:val="00BF1191"/>
    <w:rsid w:val="00BF3C04"/>
    <w:rsid w:val="00BF3C9C"/>
    <w:rsid w:val="00BF3E38"/>
    <w:rsid w:val="00BF7046"/>
    <w:rsid w:val="00BF745F"/>
    <w:rsid w:val="00BF7A5C"/>
    <w:rsid w:val="00BF7B6D"/>
    <w:rsid w:val="00C00486"/>
    <w:rsid w:val="00C004D1"/>
    <w:rsid w:val="00C00627"/>
    <w:rsid w:val="00C00640"/>
    <w:rsid w:val="00C00EC7"/>
    <w:rsid w:val="00C01B11"/>
    <w:rsid w:val="00C01BF5"/>
    <w:rsid w:val="00C020D9"/>
    <w:rsid w:val="00C02F68"/>
    <w:rsid w:val="00C0332F"/>
    <w:rsid w:val="00C04169"/>
    <w:rsid w:val="00C04AEC"/>
    <w:rsid w:val="00C06ED8"/>
    <w:rsid w:val="00C07502"/>
    <w:rsid w:val="00C1015F"/>
    <w:rsid w:val="00C11F66"/>
    <w:rsid w:val="00C12248"/>
    <w:rsid w:val="00C12B54"/>
    <w:rsid w:val="00C131AE"/>
    <w:rsid w:val="00C142C7"/>
    <w:rsid w:val="00C14EEC"/>
    <w:rsid w:val="00C169F8"/>
    <w:rsid w:val="00C16D42"/>
    <w:rsid w:val="00C17371"/>
    <w:rsid w:val="00C23F4D"/>
    <w:rsid w:val="00C24075"/>
    <w:rsid w:val="00C25103"/>
    <w:rsid w:val="00C25B29"/>
    <w:rsid w:val="00C26FA2"/>
    <w:rsid w:val="00C276C1"/>
    <w:rsid w:val="00C27C4B"/>
    <w:rsid w:val="00C27D9D"/>
    <w:rsid w:val="00C27EA9"/>
    <w:rsid w:val="00C3050C"/>
    <w:rsid w:val="00C30EE3"/>
    <w:rsid w:val="00C31AF4"/>
    <w:rsid w:val="00C33A29"/>
    <w:rsid w:val="00C34C11"/>
    <w:rsid w:val="00C35B7E"/>
    <w:rsid w:val="00C35C0F"/>
    <w:rsid w:val="00C35FB8"/>
    <w:rsid w:val="00C37F4F"/>
    <w:rsid w:val="00C400F7"/>
    <w:rsid w:val="00C41251"/>
    <w:rsid w:val="00C41D24"/>
    <w:rsid w:val="00C4287F"/>
    <w:rsid w:val="00C45E96"/>
    <w:rsid w:val="00C463B0"/>
    <w:rsid w:val="00C46CCC"/>
    <w:rsid w:val="00C47E0E"/>
    <w:rsid w:val="00C506E9"/>
    <w:rsid w:val="00C522F1"/>
    <w:rsid w:val="00C5327B"/>
    <w:rsid w:val="00C53D90"/>
    <w:rsid w:val="00C53E03"/>
    <w:rsid w:val="00C55270"/>
    <w:rsid w:val="00C56886"/>
    <w:rsid w:val="00C574C6"/>
    <w:rsid w:val="00C5774F"/>
    <w:rsid w:val="00C577A8"/>
    <w:rsid w:val="00C57E7B"/>
    <w:rsid w:val="00C60CBD"/>
    <w:rsid w:val="00C60D0A"/>
    <w:rsid w:val="00C61742"/>
    <w:rsid w:val="00C61FDC"/>
    <w:rsid w:val="00C6223E"/>
    <w:rsid w:val="00C635D8"/>
    <w:rsid w:val="00C65639"/>
    <w:rsid w:val="00C662EA"/>
    <w:rsid w:val="00C6702C"/>
    <w:rsid w:val="00C6755B"/>
    <w:rsid w:val="00C70A85"/>
    <w:rsid w:val="00C7351F"/>
    <w:rsid w:val="00C75207"/>
    <w:rsid w:val="00C769D0"/>
    <w:rsid w:val="00C80510"/>
    <w:rsid w:val="00C81080"/>
    <w:rsid w:val="00C8239E"/>
    <w:rsid w:val="00C84238"/>
    <w:rsid w:val="00C846C9"/>
    <w:rsid w:val="00C84B03"/>
    <w:rsid w:val="00C8752C"/>
    <w:rsid w:val="00C87530"/>
    <w:rsid w:val="00C879FD"/>
    <w:rsid w:val="00C87A9C"/>
    <w:rsid w:val="00C90052"/>
    <w:rsid w:val="00C90D5D"/>
    <w:rsid w:val="00C93792"/>
    <w:rsid w:val="00C93885"/>
    <w:rsid w:val="00C9412C"/>
    <w:rsid w:val="00C9482F"/>
    <w:rsid w:val="00C95B60"/>
    <w:rsid w:val="00C96C4F"/>
    <w:rsid w:val="00C97BE3"/>
    <w:rsid w:val="00CA188B"/>
    <w:rsid w:val="00CA1B9F"/>
    <w:rsid w:val="00CA27D7"/>
    <w:rsid w:val="00CA52D2"/>
    <w:rsid w:val="00CA54BE"/>
    <w:rsid w:val="00CA6028"/>
    <w:rsid w:val="00CA7741"/>
    <w:rsid w:val="00CB05AA"/>
    <w:rsid w:val="00CB0AAD"/>
    <w:rsid w:val="00CB43FC"/>
    <w:rsid w:val="00CB4FE9"/>
    <w:rsid w:val="00CB53A5"/>
    <w:rsid w:val="00CB66DB"/>
    <w:rsid w:val="00CB7062"/>
    <w:rsid w:val="00CB72A7"/>
    <w:rsid w:val="00CC020C"/>
    <w:rsid w:val="00CC0B9F"/>
    <w:rsid w:val="00CC1C45"/>
    <w:rsid w:val="00CC1D43"/>
    <w:rsid w:val="00CC2997"/>
    <w:rsid w:val="00CC31EF"/>
    <w:rsid w:val="00CC4F11"/>
    <w:rsid w:val="00CC60B1"/>
    <w:rsid w:val="00CC675C"/>
    <w:rsid w:val="00CD0B61"/>
    <w:rsid w:val="00CD173A"/>
    <w:rsid w:val="00CD1C4A"/>
    <w:rsid w:val="00CD25E5"/>
    <w:rsid w:val="00CD3487"/>
    <w:rsid w:val="00CD4175"/>
    <w:rsid w:val="00CD4561"/>
    <w:rsid w:val="00CD4591"/>
    <w:rsid w:val="00CD4D2F"/>
    <w:rsid w:val="00CD4F34"/>
    <w:rsid w:val="00CD5B6F"/>
    <w:rsid w:val="00CD6AAC"/>
    <w:rsid w:val="00CD6FDB"/>
    <w:rsid w:val="00CD73D9"/>
    <w:rsid w:val="00CE0102"/>
    <w:rsid w:val="00CE0BD2"/>
    <w:rsid w:val="00CE2A9A"/>
    <w:rsid w:val="00CE40AD"/>
    <w:rsid w:val="00CE46E9"/>
    <w:rsid w:val="00CE7841"/>
    <w:rsid w:val="00CE7EB2"/>
    <w:rsid w:val="00CF02A7"/>
    <w:rsid w:val="00CF02BB"/>
    <w:rsid w:val="00CF04C2"/>
    <w:rsid w:val="00CF0BC1"/>
    <w:rsid w:val="00CF0CA6"/>
    <w:rsid w:val="00CF22C3"/>
    <w:rsid w:val="00CF2A48"/>
    <w:rsid w:val="00CF2A58"/>
    <w:rsid w:val="00CF329F"/>
    <w:rsid w:val="00CF49E4"/>
    <w:rsid w:val="00CF5B3B"/>
    <w:rsid w:val="00CF66E9"/>
    <w:rsid w:val="00CF7072"/>
    <w:rsid w:val="00CF77A2"/>
    <w:rsid w:val="00D026CE"/>
    <w:rsid w:val="00D028F1"/>
    <w:rsid w:val="00D03137"/>
    <w:rsid w:val="00D046C0"/>
    <w:rsid w:val="00D10857"/>
    <w:rsid w:val="00D10D0F"/>
    <w:rsid w:val="00D11931"/>
    <w:rsid w:val="00D1224C"/>
    <w:rsid w:val="00D1253D"/>
    <w:rsid w:val="00D12B2A"/>
    <w:rsid w:val="00D12FED"/>
    <w:rsid w:val="00D1333F"/>
    <w:rsid w:val="00D134AC"/>
    <w:rsid w:val="00D14758"/>
    <w:rsid w:val="00D14E13"/>
    <w:rsid w:val="00D1575B"/>
    <w:rsid w:val="00D15A53"/>
    <w:rsid w:val="00D15F55"/>
    <w:rsid w:val="00D165E4"/>
    <w:rsid w:val="00D1664C"/>
    <w:rsid w:val="00D170F5"/>
    <w:rsid w:val="00D17334"/>
    <w:rsid w:val="00D17D67"/>
    <w:rsid w:val="00D201CD"/>
    <w:rsid w:val="00D214D2"/>
    <w:rsid w:val="00D21521"/>
    <w:rsid w:val="00D224D1"/>
    <w:rsid w:val="00D22F6A"/>
    <w:rsid w:val="00D234A8"/>
    <w:rsid w:val="00D248F4"/>
    <w:rsid w:val="00D2496D"/>
    <w:rsid w:val="00D25870"/>
    <w:rsid w:val="00D27964"/>
    <w:rsid w:val="00D30872"/>
    <w:rsid w:val="00D309DA"/>
    <w:rsid w:val="00D30C63"/>
    <w:rsid w:val="00D332AB"/>
    <w:rsid w:val="00D33AAE"/>
    <w:rsid w:val="00D34347"/>
    <w:rsid w:val="00D34517"/>
    <w:rsid w:val="00D34570"/>
    <w:rsid w:val="00D349E8"/>
    <w:rsid w:val="00D353BF"/>
    <w:rsid w:val="00D358F2"/>
    <w:rsid w:val="00D36B5B"/>
    <w:rsid w:val="00D37306"/>
    <w:rsid w:val="00D401C7"/>
    <w:rsid w:val="00D40880"/>
    <w:rsid w:val="00D41FEC"/>
    <w:rsid w:val="00D42DAA"/>
    <w:rsid w:val="00D43779"/>
    <w:rsid w:val="00D448C6"/>
    <w:rsid w:val="00D45320"/>
    <w:rsid w:val="00D46B52"/>
    <w:rsid w:val="00D473E6"/>
    <w:rsid w:val="00D50BC2"/>
    <w:rsid w:val="00D5170B"/>
    <w:rsid w:val="00D51A0F"/>
    <w:rsid w:val="00D520C3"/>
    <w:rsid w:val="00D52461"/>
    <w:rsid w:val="00D535F0"/>
    <w:rsid w:val="00D5373D"/>
    <w:rsid w:val="00D5565A"/>
    <w:rsid w:val="00D558EC"/>
    <w:rsid w:val="00D5637F"/>
    <w:rsid w:val="00D60A58"/>
    <w:rsid w:val="00D61549"/>
    <w:rsid w:val="00D63EA7"/>
    <w:rsid w:val="00D659C7"/>
    <w:rsid w:val="00D65E3B"/>
    <w:rsid w:val="00D71C73"/>
    <w:rsid w:val="00D72D11"/>
    <w:rsid w:val="00D732E2"/>
    <w:rsid w:val="00D747A7"/>
    <w:rsid w:val="00D74D26"/>
    <w:rsid w:val="00D7565B"/>
    <w:rsid w:val="00D762B8"/>
    <w:rsid w:val="00D76399"/>
    <w:rsid w:val="00D76920"/>
    <w:rsid w:val="00D802CF"/>
    <w:rsid w:val="00D8174E"/>
    <w:rsid w:val="00D81CBA"/>
    <w:rsid w:val="00D82601"/>
    <w:rsid w:val="00D827B7"/>
    <w:rsid w:val="00D83B3F"/>
    <w:rsid w:val="00D84774"/>
    <w:rsid w:val="00D84BE2"/>
    <w:rsid w:val="00D85CFC"/>
    <w:rsid w:val="00D85F6C"/>
    <w:rsid w:val="00D8601B"/>
    <w:rsid w:val="00D866F0"/>
    <w:rsid w:val="00D87FFD"/>
    <w:rsid w:val="00D910A1"/>
    <w:rsid w:val="00D925B3"/>
    <w:rsid w:val="00D942D8"/>
    <w:rsid w:val="00D943EA"/>
    <w:rsid w:val="00D94F03"/>
    <w:rsid w:val="00D95805"/>
    <w:rsid w:val="00D95F2F"/>
    <w:rsid w:val="00D95F98"/>
    <w:rsid w:val="00D968CA"/>
    <w:rsid w:val="00D97135"/>
    <w:rsid w:val="00DA02E8"/>
    <w:rsid w:val="00DA0A7A"/>
    <w:rsid w:val="00DA0B88"/>
    <w:rsid w:val="00DA24FA"/>
    <w:rsid w:val="00DA25A8"/>
    <w:rsid w:val="00DA37D9"/>
    <w:rsid w:val="00DA396F"/>
    <w:rsid w:val="00DA3A73"/>
    <w:rsid w:val="00DA56AD"/>
    <w:rsid w:val="00DA745E"/>
    <w:rsid w:val="00DA7ABD"/>
    <w:rsid w:val="00DA7D8F"/>
    <w:rsid w:val="00DA7EBE"/>
    <w:rsid w:val="00DB0513"/>
    <w:rsid w:val="00DB0C13"/>
    <w:rsid w:val="00DB17AF"/>
    <w:rsid w:val="00DB34AC"/>
    <w:rsid w:val="00DB39B7"/>
    <w:rsid w:val="00DB422D"/>
    <w:rsid w:val="00DB456A"/>
    <w:rsid w:val="00DB4C10"/>
    <w:rsid w:val="00DB4FB4"/>
    <w:rsid w:val="00DB6225"/>
    <w:rsid w:val="00DB6FF2"/>
    <w:rsid w:val="00DB7CF2"/>
    <w:rsid w:val="00DC0AB0"/>
    <w:rsid w:val="00DC21A3"/>
    <w:rsid w:val="00DC2F7F"/>
    <w:rsid w:val="00DC31B4"/>
    <w:rsid w:val="00DC4156"/>
    <w:rsid w:val="00DC4162"/>
    <w:rsid w:val="00DC5CE5"/>
    <w:rsid w:val="00DC791F"/>
    <w:rsid w:val="00DD08CA"/>
    <w:rsid w:val="00DD1C5B"/>
    <w:rsid w:val="00DD3A87"/>
    <w:rsid w:val="00DD401C"/>
    <w:rsid w:val="00DD4BF9"/>
    <w:rsid w:val="00DD4FCD"/>
    <w:rsid w:val="00DD635E"/>
    <w:rsid w:val="00DD6A44"/>
    <w:rsid w:val="00DD7B6A"/>
    <w:rsid w:val="00DE025D"/>
    <w:rsid w:val="00DE080B"/>
    <w:rsid w:val="00DE1C89"/>
    <w:rsid w:val="00DE24C1"/>
    <w:rsid w:val="00DE2B31"/>
    <w:rsid w:val="00DE4336"/>
    <w:rsid w:val="00DE4550"/>
    <w:rsid w:val="00DE4631"/>
    <w:rsid w:val="00DE5070"/>
    <w:rsid w:val="00DE558F"/>
    <w:rsid w:val="00DE588F"/>
    <w:rsid w:val="00DE5D95"/>
    <w:rsid w:val="00DF0128"/>
    <w:rsid w:val="00DF108B"/>
    <w:rsid w:val="00DF1751"/>
    <w:rsid w:val="00DF22C1"/>
    <w:rsid w:val="00DF2687"/>
    <w:rsid w:val="00DF35DB"/>
    <w:rsid w:val="00DF36A7"/>
    <w:rsid w:val="00DF4609"/>
    <w:rsid w:val="00DF4A72"/>
    <w:rsid w:val="00DF59ED"/>
    <w:rsid w:val="00DF62B2"/>
    <w:rsid w:val="00DF687C"/>
    <w:rsid w:val="00DF6C6D"/>
    <w:rsid w:val="00DF717F"/>
    <w:rsid w:val="00DF790F"/>
    <w:rsid w:val="00DF7B66"/>
    <w:rsid w:val="00E010ED"/>
    <w:rsid w:val="00E02432"/>
    <w:rsid w:val="00E02A3B"/>
    <w:rsid w:val="00E02E62"/>
    <w:rsid w:val="00E03788"/>
    <w:rsid w:val="00E03FB5"/>
    <w:rsid w:val="00E04CA0"/>
    <w:rsid w:val="00E05CFC"/>
    <w:rsid w:val="00E10B65"/>
    <w:rsid w:val="00E12C1C"/>
    <w:rsid w:val="00E14167"/>
    <w:rsid w:val="00E14437"/>
    <w:rsid w:val="00E14561"/>
    <w:rsid w:val="00E153CB"/>
    <w:rsid w:val="00E15414"/>
    <w:rsid w:val="00E1551E"/>
    <w:rsid w:val="00E16788"/>
    <w:rsid w:val="00E1681C"/>
    <w:rsid w:val="00E16850"/>
    <w:rsid w:val="00E16B09"/>
    <w:rsid w:val="00E16D93"/>
    <w:rsid w:val="00E20508"/>
    <w:rsid w:val="00E212FB"/>
    <w:rsid w:val="00E21770"/>
    <w:rsid w:val="00E219F6"/>
    <w:rsid w:val="00E22D7E"/>
    <w:rsid w:val="00E23840"/>
    <w:rsid w:val="00E2438A"/>
    <w:rsid w:val="00E24484"/>
    <w:rsid w:val="00E25AAC"/>
    <w:rsid w:val="00E27480"/>
    <w:rsid w:val="00E3023A"/>
    <w:rsid w:val="00E3079E"/>
    <w:rsid w:val="00E31530"/>
    <w:rsid w:val="00E33B57"/>
    <w:rsid w:val="00E3460D"/>
    <w:rsid w:val="00E35C3C"/>
    <w:rsid w:val="00E35F57"/>
    <w:rsid w:val="00E36B44"/>
    <w:rsid w:val="00E3701A"/>
    <w:rsid w:val="00E37861"/>
    <w:rsid w:val="00E37D6E"/>
    <w:rsid w:val="00E44077"/>
    <w:rsid w:val="00E44276"/>
    <w:rsid w:val="00E44990"/>
    <w:rsid w:val="00E44AEF"/>
    <w:rsid w:val="00E45D3D"/>
    <w:rsid w:val="00E46396"/>
    <w:rsid w:val="00E46AF3"/>
    <w:rsid w:val="00E47DDF"/>
    <w:rsid w:val="00E50928"/>
    <w:rsid w:val="00E533BD"/>
    <w:rsid w:val="00E54CE3"/>
    <w:rsid w:val="00E556D1"/>
    <w:rsid w:val="00E5640E"/>
    <w:rsid w:val="00E56C51"/>
    <w:rsid w:val="00E56D0C"/>
    <w:rsid w:val="00E57DD7"/>
    <w:rsid w:val="00E60BC4"/>
    <w:rsid w:val="00E60E4C"/>
    <w:rsid w:val="00E60E85"/>
    <w:rsid w:val="00E61A05"/>
    <w:rsid w:val="00E61DB4"/>
    <w:rsid w:val="00E62320"/>
    <w:rsid w:val="00E62F19"/>
    <w:rsid w:val="00E6340C"/>
    <w:rsid w:val="00E65034"/>
    <w:rsid w:val="00E65706"/>
    <w:rsid w:val="00E663D5"/>
    <w:rsid w:val="00E66A3F"/>
    <w:rsid w:val="00E674B2"/>
    <w:rsid w:val="00E70385"/>
    <w:rsid w:val="00E7059B"/>
    <w:rsid w:val="00E71419"/>
    <w:rsid w:val="00E715FA"/>
    <w:rsid w:val="00E74062"/>
    <w:rsid w:val="00E7503D"/>
    <w:rsid w:val="00E7562E"/>
    <w:rsid w:val="00E765A4"/>
    <w:rsid w:val="00E76E93"/>
    <w:rsid w:val="00E76EC8"/>
    <w:rsid w:val="00E801AC"/>
    <w:rsid w:val="00E8235C"/>
    <w:rsid w:val="00E83DFC"/>
    <w:rsid w:val="00E8442E"/>
    <w:rsid w:val="00E844FB"/>
    <w:rsid w:val="00E84F1C"/>
    <w:rsid w:val="00E85AC8"/>
    <w:rsid w:val="00E85E1B"/>
    <w:rsid w:val="00E9184D"/>
    <w:rsid w:val="00E924A4"/>
    <w:rsid w:val="00E92A30"/>
    <w:rsid w:val="00E93136"/>
    <w:rsid w:val="00E9381D"/>
    <w:rsid w:val="00E941DF"/>
    <w:rsid w:val="00E942F5"/>
    <w:rsid w:val="00E957D1"/>
    <w:rsid w:val="00E96161"/>
    <w:rsid w:val="00E962F1"/>
    <w:rsid w:val="00E9695B"/>
    <w:rsid w:val="00E9744A"/>
    <w:rsid w:val="00E97938"/>
    <w:rsid w:val="00E979F2"/>
    <w:rsid w:val="00EA0E12"/>
    <w:rsid w:val="00EA0FCF"/>
    <w:rsid w:val="00EA2570"/>
    <w:rsid w:val="00EA269B"/>
    <w:rsid w:val="00EA2FB2"/>
    <w:rsid w:val="00EA4ADB"/>
    <w:rsid w:val="00EA5B4A"/>
    <w:rsid w:val="00EA6567"/>
    <w:rsid w:val="00EA6AD9"/>
    <w:rsid w:val="00EA6B5E"/>
    <w:rsid w:val="00EA6BE6"/>
    <w:rsid w:val="00EA7EB0"/>
    <w:rsid w:val="00EB1747"/>
    <w:rsid w:val="00EB18AB"/>
    <w:rsid w:val="00EB1D84"/>
    <w:rsid w:val="00EB4DDD"/>
    <w:rsid w:val="00EB55DD"/>
    <w:rsid w:val="00EB7B02"/>
    <w:rsid w:val="00EB7D14"/>
    <w:rsid w:val="00EC00B7"/>
    <w:rsid w:val="00EC10C6"/>
    <w:rsid w:val="00EC1140"/>
    <w:rsid w:val="00EC1A9B"/>
    <w:rsid w:val="00EC253F"/>
    <w:rsid w:val="00EC2F81"/>
    <w:rsid w:val="00EC48AE"/>
    <w:rsid w:val="00EC599D"/>
    <w:rsid w:val="00EC6B83"/>
    <w:rsid w:val="00EC6CA8"/>
    <w:rsid w:val="00ED2C03"/>
    <w:rsid w:val="00ED375B"/>
    <w:rsid w:val="00ED3A51"/>
    <w:rsid w:val="00ED3CD9"/>
    <w:rsid w:val="00ED5B3D"/>
    <w:rsid w:val="00ED622B"/>
    <w:rsid w:val="00EE2BCE"/>
    <w:rsid w:val="00EE2CFD"/>
    <w:rsid w:val="00EE2E92"/>
    <w:rsid w:val="00EE35BD"/>
    <w:rsid w:val="00EE365D"/>
    <w:rsid w:val="00EE45F9"/>
    <w:rsid w:val="00EE512D"/>
    <w:rsid w:val="00EE55F1"/>
    <w:rsid w:val="00EE5B67"/>
    <w:rsid w:val="00EE741F"/>
    <w:rsid w:val="00EF0872"/>
    <w:rsid w:val="00EF0AC5"/>
    <w:rsid w:val="00EF0C0A"/>
    <w:rsid w:val="00EF10F1"/>
    <w:rsid w:val="00EF19BA"/>
    <w:rsid w:val="00EF1DBD"/>
    <w:rsid w:val="00EF2057"/>
    <w:rsid w:val="00EF2392"/>
    <w:rsid w:val="00EF268A"/>
    <w:rsid w:val="00EF2826"/>
    <w:rsid w:val="00EF3B63"/>
    <w:rsid w:val="00EF4395"/>
    <w:rsid w:val="00EF583C"/>
    <w:rsid w:val="00EF5B2A"/>
    <w:rsid w:val="00EF604B"/>
    <w:rsid w:val="00EF6F73"/>
    <w:rsid w:val="00EF7CD3"/>
    <w:rsid w:val="00F00B89"/>
    <w:rsid w:val="00F02FE4"/>
    <w:rsid w:val="00F04E3B"/>
    <w:rsid w:val="00F05829"/>
    <w:rsid w:val="00F0650E"/>
    <w:rsid w:val="00F06F99"/>
    <w:rsid w:val="00F072F7"/>
    <w:rsid w:val="00F117A5"/>
    <w:rsid w:val="00F129CB"/>
    <w:rsid w:val="00F14823"/>
    <w:rsid w:val="00F20147"/>
    <w:rsid w:val="00F202EF"/>
    <w:rsid w:val="00F21E07"/>
    <w:rsid w:val="00F2201B"/>
    <w:rsid w:val="00F22366"/>
    <w:rsid w:val="00F23465"/>
    <w:rsid w:val="00F241A6"/>
    <w:rsid w:val="00F2491C"/>
    <w:rsid w:val="00F24A49"/>
    <w:rsid w:val="00F266E3"/>
    <w:rsid w:val="00F26C79"/>
    <w:rsid w:val="00F26DC1"/>
    <w:rsid w:val="00F27047"/>
    <w:rsid w:val="00F27760"/>
    <w:rsid w:val="00F277BE"/>
    <w:rsid w:val="00F278A6"/>
    <w:rsid w:val="00F303F6"/>
    <w:rsid w:val="00F305B0"/>
    <w:rsid w:val="00F3191C"/>
    <w:rsid w:val="00F32D92"/>
    <w:rsid w:val="00F332E8"/>
    <w:rsid w:val="00F33BA5"/>
    <w:rsid w:val="00F347FE"/>
    <w:rsid w:val="00F35729"/>
    <w:rsid w:val="00F3592C"/>
    <w:rsid w:val="00F36F35"/>
    <w:rsid w:val="00F37C9C"/>
    <w:rsid w:val="00F40008"/>
    <w:rsid w:val="00F40BC8"/>
    <w:rsid w:val="00F41B39"/>
    <w:rsid w:val="00F41DC0"/>
    <w:rsid w:val="00F42189"/>
    <w:rsid w:val="00F42723"/>
    <w:rsid w:val="00F431DF"/>
    <w:rsid w:val="00F43AE7"/>
    <w:rsid w:val="00F44065"/>
    <w:rsid w:val="00F45B6D"/>
    <w:rsid w:val="00F4655D"/>
    <w:rsid w:val="00F4777E"/>
    <w:rsid w:val="00F525C9"/>
    <w:rsid w:val="00F55F56"/>
    <w:rsid w:val="00F5606B"/>
    <w:rsid w:val="00F56518"/>
    <w:rsid w:val="00F56596"/>
    <w:rsid w:val="00F579C3"/>
    <w:rsid w:val="00F57CCA"/>
    <w:rsid w:val="00F60E6D"/>
    <w:rsid w:val="00F617A9"/>
    <w:rsid w:val="00F61822"/>
    <w:rsid w:val="00F631C5"/>
    <w:rsid w:val="00F63C41"/>
    <w:rsid w:val="00F64E43"/>
    <w:rsid w:val="00F65561"/>
    <w:rsid w:val="00F65592"/>
    <w:rsid w:val="00F659D6"/>
    <w:rsid w:val="00F66824"/>
    <w:rsid w:val="00F66D47"/>
    <w:rsid w:val="00F672E1"/>
    <w:rsid w:val="00F6765E"/>
    <w:rsid w:val="00F67851"/>
    <w:rsid w:val="00F67DA8"/>
    <w:rsid w:val="00F711A0"/>
    <w:rsid w:val="00F72447"/>
    <w:rsid w:val="00F72953"/>
    <w:rsid w:val="00F72B1C"/>
    <w:rsid w:val="00F75FB7"/>
    <w:rsid w:val="00F77378"/>
    <w:rsid w:val="00F802DF"/>
    <w:rsid w:val="00F808A9"/>
    <w:rsid w:val="00F80BD1"/>
    <w:rsid w:val="00F80EFB"/>
    <w:rsid w:val="00F814BE"/>
    <w:rsid w:val="00F81A14"/>
    <w:rsid w:val="00F8303F"/>
    <w:rsid w:val="00F837DB"/>
    <w:rsid w:val="00F83823"/>
    <w:rsid w:val="00F83874"/>
    <w:rsid w:val="00F83C28"/>
    <w:rsid w:val="00F842EF"/>
    <w:rsid w:val="00F85005"/>
    <w:rsid w:val="00F86380"/>
    <w:rsid w:val="00F86B6C"/>
    <w:rsid w:val="00F876B5"/>
    <w:rsid w:val="00F90780"/>
    <w:rsid w:val="00F90D2A"/>
    <w:rsid w:val="00F92345"/>
    <w:rsid w:val="00F9264C"/>
    <w:rsid w:val="00F93847"/>
    <w:rsid w:val="00F9467E"/>
    <w:rsid w:val="00F94916"/>
    <w:rsid w:val="00F95E8E"/>
    <w:rsid w:val="00F95FBB"/>
    <w:rsid w:val="00F96C9D"/>
    <w:rsid w:val="00F976DB"/>
    <w:rsid w:val="00F97BFA"/>
    <w:rsid w:val="00FA05B3"/>
    <w:rsid w:val="00FA0614"/>
    <w:rsid w:val="00FA0CCE"/>
    <w:rsid w:val="00FA155D"/>
    <w:rsid w:val="00FA1F85"/>
    <w:rsid w:val="00FA23D7"/>
    <w:rsid w:val="00FA2A9F"/>
    <w:rsid w:val="00FA42CC"/>
    <w:rsid w:val="00FA5195"/>
    <w:rsid w:val="00FA538B"/>
    <w:rsid w:val="00FA5E91"/>
    <w:rsid w:val="00FA61C0"/>
    <w:rsid w:val="00FA7BFE"/>
    <w:rsid w:val="00FB02F2"/>
    <w:rsid w:val="00FB23E7"/>
    <w:rsid w:val="00FB37D3"/>
    <w:rsid w:val="00FB43AF"/>
    <w:rsid w:val="00FB59B6"/>
    <w:rsid w:val="00FB7A20"/>
    <w:rsid w:val="00FC05F6"/>
    <w:rsid w:val="00FC1D9D"/>
    <w:rsid w:val="00FC2622"/>
    <w:rsid w:val="00FC26A1"/>
    <w:rsid w:val="00FC2E91"/>
    <w:rsid w:val="00FC5ED8"/>
    <w:rsid w:val="00FC6A82"/>
    <w:rsid w:val="00FD0817"/>
    <w:rsid w:val="00FD0D54"/>
    <w:rsid w:val="00FD0FA4"/>
    <w:rsid w:val="00FD1030"/>
    <w:rsid w:val="00FD1799"/>
    <w:rsid w:val="00FD36AA"/>
    <w:rsid w:val="00FD424F"/>
    <w:rsid w:val="00FD4EA2"/>
    <w:rsid w:val="00FD4ECE"/>
    <w:rsid w:val="00FD69A5"/>
    <w:rsid w:val="00FD6A47"/>
    <w:rsid w:val="00FD6DDF"/>
    <w:rsid w:val="00FD7513"/>
    <w:rsid w:val="00FE0F8D"/>
    <w:rsid w:val="00FE1323"/>
    <w:rsid w:val="00FE36D9"/>
    <w:rsid w:val="00FE3B47"/>
    <w:rsid w:val="00FE448B"/>
    <w:rsid w:val="00FE510E"/>
    <w:rsid w:val="00FE5664"/>
    <w:rsid w:val="00FE5E1B"/>
    <w:rsid w:val="00FE671F"/>
    <w:rsid w:val="00FE6F96"/>
    <w:rsid w:val="00FE7451"/>
    <w:rsid w:val="00FF0659"/>
    <w:rsid w:val="00FF1AE0"/>
    <w:rsid w:val="00FF3954"/>
    <w:rsid w:val="00FF4864"/>
    <w:rsid w:val="00FF5031"/>
    <w:rsid w:val="00FF50B3"/>
    <w:rsid w:val="00FF5488"/>
    <w:rsid w:val="00FF66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38EB1"/>
  <w15:chartTrackingRefBased/>
  <w15:docId w15:val="{607D5A74-5827-4CBC-81A6-81E2C9A7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33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33BD"/>
  </w:style>
  <w:style w:type="paragraph" w:styleId="Stopka">
    <w:name w:val="footer"/>
    <w:basedOn w:val="Normalny"/>
    <w:link w:val="StopkaZnak"/>
    <w:uiPriority w:val="99"/>
    <w:unhideWhenUsed/>
    <w:rsid w:val="00E533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33BD"/>
  </w:style>
  <w:style w:type="paragraph" w:styleId="Tekstprzypisukocowego">
    <w:name w:val="endnote text"/>
    <w:basedOn w:val="Normalny"/>
    <w:link w:val="TekstprzypisukocowegoZnak"/>
    <w:uiPriority w:val="99"/>
    <w:semiHidden/>
    <w:unhideWhenUsed/>
    <w:rsid w:val="00E61DB4"/>
    <w:rPr>
      <w:sz w:val="20"/>
      <w:szCs w:val="20"/>
    </w:rPr>
  </w:style>
  <w:style w:type="character" w:customStyle="1" w:styleId="TekstprzypisukocowegoZnak">
    <w:name w:val="Tekst przypisu końcowego Znak"/>
    <w:link w:val="Tekstprzypisukocowego"/>
    <w:uiPriority w:val="99"/>
    <w:semiHidden/>
    <w:rsid w:val="00E61DB4"/>
    <w:rPr>
      <w:lang w:eastAsia="en-US"/>
    </w:rPr>
  </w:style>
  <w:style w:type="character" w:styleId="Odwoanieprzypisukocowego">
    <w:name w:val="endnote reference"/>
    <w:uiPriority w:val="99"/>
    <w:semiHidden/>
    <w:unhideWhenUsed/>
    <w:rsid w:val="00E61DB4"/>
    <w:rPr>
      <w:vertAlign w:val="superscript"/>
    </w:rPr>
  </w:style>
  <w:style w:type="character" w:styleId="Hipercze">
    <w:name w:val="Hyperlink"/>
    <w:uiPriority w:val="99"/>
    <w:unhideWhenUsed/>
    <w:rsid w:val="00084AA3"/>
    <w:rPr>
      <w:color w:val="0563C1"/>
      <w:u w:val="single"/>
    </w:rPr>
  </w:style>
  <w:style w:type="character" w:styleId="Nierozpoznanawzmianka">
    <w:name w:val="Unresolved Mention"/>
    <w:uiPriority w:val="99"/>
    <w:semiHidden/>
    <w:unhideWhenUsed/>
    <w:rsid w:val="00084AA3"/>
    <w:rPr>
      <w:color w:val="605E5C"/>
      <w:shd w:val="clear" w:color="auto" w:fill="E1DFDD"/>
    </w:rPr>
  </w:style>
  <w:style w:type="character" w:styleId="UyteHipercze">
    <w:name w:val="FollowedHyperlink"/>
    <w:uiPriority w:val="99"/>
    <w:semiHidden/>
    <w:unhideWhenUsed/>
    <w:rsid w:val="00E65706"/>
    <w:rPr>
      <w:color w:val="954F72"/>
      <w:u w:val="single"/>
    </w:rPr>
  </w:style>
  <w:style w:type="paragraph" w:styleId="Akapitzlist">
    <w:name w:val="List Paragraph"/>
    <w:basedOn w:val="Normalny"/>
    <w:uiPriority w:val="34"/>
    <w:qFormat/>
    <w:rsid w:val="00720182"/>
    <w:pPr>
      <w:ind w:left="720"/>
      <w:contextualSpacing/>
    </w:pPr>
  </w:style>
  <w:style w:type="table" w:styleId="Tabela-Siatka">
    <w:name w:val="Table Grid"/>
    <w:basedOn w:val="Standardowy"/>
    <w:uiPriority w:val="39"/>
    <w:rsid w:val="00087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D424F"/>
    <w:rPr>
      <w:sz w:val="16"/>
      <w:szCs w:val="16"/>
    </w:rPr>
  </w:style>
  <w:style w:type="paragraph" w:styleId="Tekstkomentarza">
    <w:name w:val="annotation text"/>
    <w:basedOn w:val="Normalny"/>
    <w:link w:val="TekstkomentarzaZnak"/>
    <w:uiPriority w:val="99"/>
    <w:semiHidden/>
    <w:unhideWhenUsed/>
    <w:rsid w:val="00FD42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D424F"/>
    <w:rPr>
      <w:lang w:eastAsia="en-US"/>
    </w:rPr>
  </w:style>
  <w:style w:type="paragraph" w:styleId="Tematkomentarza">
    <w:name w:val="annotation subject"/>
    <w:basedOn w:val="Tekstkomentarza"/>
    <w:next w:val="Tekstkomentarza"/>
    <w:link w:val="TematkomentarzaZnak"/>
    <w:uiPriority w:val="99"/>
    <w:semiHidden/>
    <w:unhideWhenUsed/>
    <w:rsid w:val="00FD424F"/>
    <w:rPr>
      <w:b/>
      <w:bCs/>
    </w:rPr>
  </w:style>
  <w:style w:type="character" w:customStyle="1" w:styleId="TematkomentarzaZnak">
    <w:name w:val="Temat komentarza Znak"/>
    <w:basedOn w:val="TekstkomentarzaZnak"/>
    <w:link w:val="Tematkomentarza"/>
    <w:uiPriority w:val="99"/>
    <w:semiHidden/>
    <w:rsid w:val="00FD424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368">
      <w:bodyDiv w:val="1"/>
      <w:marLeft w:val="0"/>
      <w:marRight w:val="0"/>
      <w:marTop w:val="0"/>
      <w:marBottom w:val="0"/>
      <w:divBdr>
        <w:top w:val="none" w:sz="0" w:space="0" w:color="auto"/>
        <w:left w:val="none" w:sz="0" w:space="0" w:color="auto"/>
        <w:bottom w:val="none" w:sz="0" w:space="0" w:color="auto"/>
        <w:right w:val="none" w:sz="0" w:space="0" w:color="auto"/>
      </w:divBdr>
    </w:div>
    <w:div w:id="101809457">
      <w:bodyDiv w:val="1"/>
      <w:marLeft w:val="0"/>
      <w:marRight w:val="0"/>
      <w:marTop w:val="0"/>
      <w:marBottom w:val="0"/>
      <w:divBdr>
        <w:top w:val="none" w:sz="0" w:space="0" w:color="auto"/>
        <w:left w:val="none" w:sz="0" w:space="0" w:color="auto"/>
        <w:bottom w:val="none" w:sz="0" w:space="0" w:color="auto"/>
        <w:right w:val="none" w:sz="0" w:space="0" w:color="auto"/>
      </w:divBdr>
    </w:div>
    <w:div w:id="197206873">
      <w:bodyDiv w:val="1"/>
      <w:marLeft w:val="0"/>
      <w:marRight w:val="0"/>
      <w:marTop w:val="0"/>
      <w:marBottom w:val="0"/>
      <w:divBdr>
        <w:top w:val="none" w:sz="0" w:space="0" w:color="auto"/>
        <w:left w:val="none" w:sz="0" w:space="0" w:color="auto"/>
        <w:bottom w:val="none" w:sz="0" w:space="0" w:color="auto"/>
        <w:right w:val="none" w:sz="0" w:space="0" w:color="auto"/>
      </w:divBdr>
    </w:div>
    <w:div w:id="248007964">
      <w:bodyDiv w:val="1"/>
      <w:marLeft w:val="0"/>
      <w:marRight w:val="0"/>
      <w:marTop w:val="0"/>
      <w:marBottom w:val="0"/>
      <w:divBdr>
        <w:top w:val="none" w:sz="0" w:space="0" w:color="auto"/>
        <w:left w:val="none" w:sz="0" w:space="0" w:color="auto"/>
        <w:bottom w:val="none" w:sz="0" w:space="0" w:color="auto"/>
        <w:right w:val="none" w:sz="0" w:space="0" w:color="auto"/>
      </w:divBdr>
    </w:div>
    <w:div w:id="266353623">
      <w:bodyDiv w:val="1"/>
      <w:marLeft w:val="0"/>
      <w:marRight w:val="0"/>
      <w:marTop w:val="0"/>
      <w:marBottom w:val="0"/>
      <w:divBdr>
        <w:top w:val="none" w:sz="0" w:space="0" w:color="auto"/>
        <w:left w:val="none" w:sz="0" w:space="0" w:color="auto"/>
        <w:bottom w:val="none" w:sz="0" w:space="0" w:color="auto"/>
        <w:right w:val="none" w:sz="0" w:space="0" w:color="auto"/>
      </w:divBdr>
    </w:div>
    <w:div w:id="287518063">
      <w:bodyDiv w:val="1"/>
      <w:marLeft w:val="0"/>
      <w:marRight w:val="0"/>
      <w:marTop w:val="0"/>
      <w:marBottom w:val="0"/>
      <w:divBdr>
        <w:top w:val="none" w:sz="0" w:space="0" w:color="auto"/>
        <w:left w:val="none" w:sz="0" w:space="0" w:color="auto"/>
        <w:bottom w:val="none" w:sz="0" w:space="0" w:color="auto"/>
        <w:right w:val="none" w:sz="0" w:space="0" w:color="auto"/>
      </w:divBdr>
    </w:div>
    <w:div w:id="425422003">
      <w:bodyDiv w:val="1"/>
      <w:marLeft w:val="0"/>
      <w:marRight w:val="0"/>
      <w:marTop w:val="0"/>
      <w:marBottom w:val="0"/>
      <w:divBdr>
        <w:top w:val="none" w:sz="0" w:space="0" w:color="auto"/>
        <w:left w:val="none" w:sz="0" w:space="0" w:color="auto"/>
        <w:bottom w:val="none" w:sz="0" w:space="0" w:color="auto"/>
        <w:right w:val="none" w:sz="0" w:space="0" w:color="auto"/>
      </w:divBdr>
    </w:div>
    <w:div w:id="442113629">
      <w:bodyDiv w:val="1"/>
      <w:marLeft w:val="0"/>
      <w:marRight w:val="0"/>
      <w:marTop w:val="0"/>
      <w:marBottom w:val="0"/>
      <w:divBdr>
        <w:top w:val="none" w:sz="0" w:space="0" w:color="auto"/>
        <w:left w:val="none" w:sz="0" w:space="0" w:color="auto"/>
        <w:bottom w:val="none" w:sz="0" w:space="0" w:color="auto"/>
        <w:right w:val="none" w:sz="0" w:space="0" w:color="auto"/>
      </w:divBdr>
    </w:div>
    <w:div w:id="455681705">
      <w:bodyDiv w:val="1"/>
      <w:marLeft w:val="0"/>
      <w:marRight w:val="0"/>
      <w:marTop w:val="0"/>
      <w:marBottom w:val="0"/>
      <w:divBdr>
        <w:top w:val="none" w:sz="0" w:space="0" w:color="auto"/>
        <w:left w:val="none" w:sz="0" w:space="0" w:color="auto"/>
        <w:bottom w:val="none" w:sz="0" w:space="0" w:color="auto"/>
        <w:right w:val="none" w:sz="0" w:space="0" w:color="auto"/>
      </w:divBdr>
    </w:div>
    <w:div w:id="472211872">
      <w:bodyDiv w:val="1"/>
      <w:marLeft w:val="0"/>
      <w:marRight w:val="0"/>
      <w:marTop w:val="0"/>
      <w:marBottom w:val="0"/>
      <w:divBdr>
        <w:top w:val="none" w:sz="0" w:space="0" w:color="auto"/>
        <w:left w:val="none" w:sz="0" w:space="0" w:color="auto"/>
        <w:bottom w:val="none" w:sz="0" w:space="0" w:color="auto"/>
        <w:right w:val="none" w:sz="0" w:space="0" w:color="auto"/>
      </w:divBdr>
    </w:div>
    <w:div w:id="513425493">
      <w:bodyDiv w:val="1"/>
      <w:marLeft w:val="0"/>
      <w:marRight w:val="0"/>
      <w:marTop w:val="0"/>
      <w:marBottom w:val="0"/>
      <w:divBdr>
        <w:top w:val="none" w:sz="0" w:space="0" w:color="auto"/>
        <w:left w:val="none" w:sz="0" w:space="0" w:color="auto"/>
        <w:bottom w:val="none" w:sz="0" w:space="0" w:color="auto"/>
        <w:right w:val="none" w:sz="0" w:space="0" w:color="auto"/>
      </w:divBdr>
    </w:div>
    <w:div w:id="709376969">
      <w:bodyDiv w:val="1"/>
      <w:marLeft w:val="0"/>
      <w:marRight w:val="0"/>
      <w:marTop w:val="0"/>
      <w:marBottom w:val="0"/>
      <w:divBdr>
        <w:top w:val="none" w:sz="0" w:space="0" w:color="auto"/>
        <w:left w:val="none" w:sz="0" w:space="0" w:color="auto"/>
        <w:bottom w:val="none" w:sz="0" w:space="0" w:color="auto"/>
        <w:right w:val="none" w:sz="0" w:space="0" w:color="auto"/>
      </w:divBdr>
    </w:div>
    <w:div w:id="737870951">
      <w:bodyDiv w:val="1"/>
      <w:marLeft w:val="0"/>
      <w:marRight w:val="0"/>
      <w:marTop w:val="0"/>
      <w:marBottom w:val="0"/>
      <w:divBdr>
        <w:top w:val="none" w:sz="0" w:space="0" w:color="auto"/>
        <w:left w:val="none" w:sz="0" w:space="0" w:color="auto"/>
        <w:bottom w:val="none" w:sz="0" w:space="0" w:color="auto"/>
        <w:right w:val="none" w:sz="0" w:space="0" w:color="auto"/>
      </w:divBdr>
    </w:div>
    <w:div w:id="834491029">
      <w:bodyDiv w:val="1"/>
      <w:marLeft w:val="0"/>
      <w:marRight w:val="0"/>
      <w:marTop w:val="0"/>
      <w:marBottom w:val="0"/>
      <w:divBdr>
        <w:top w:val="none" w:sz="0" w:space="0" w:color="auto"/>
        <w:left w:val="none" w:sz="0" w:space="0" w:color="auto"/>
        <w:bottom w:val="none" w:sz="0" w:space="0" w:color="auto"/>
        <w:right w:val="none" w:sz="0" w:space="0" w:color="auto"/>
      </w:divBdr>
    </w:div>
    <w:div w:id="1085954634">
      <w:bodyDiv w:val="1"/>
      <w:marLeft w:val="0"/>
      <w:marRight w:val="0"/>
      <w:marTop w:val="0"/>
      <w:marBottom w:val="0"/>
      <w:divBdr>
        <w:top w:val="none" w:sz="0" w:space="0" w:color="auto"/>
        <w:left w:val="none" w:sz="0" w:space="0" w:color="auto"/>
        <w:bottom w:val="none" w:sz="0" w:space="0" w:color="auto"/>
        <w:right w:val="none" w:sz="0" w:space="0" w:color="auto"/>
      </w:divBdr>
    </w:div>
    <w:div w:id="1135636253">
      <w:bodyDiv w:val="1"/>
      <w:marLeft w:val="0"/>
      <w:marRight w:val="0"/>
      <w:marTop w:val="0"/>
      <w:marBottom w:val="0"/>
      <w:divBdr>
        <w:top w:val="none" w:sz="0" w:space="0" w:color="auto"/>
        <w:left w:val="none" w:sz="0" w:space="0" w:color="auto"/>
        <w:bottom w:val="none" w:sz="0" w:space="0" w:color="auto"/>
        <w:right w:val="none" w:sz="0" w:space="0" w:color="auto"/>
      </w:divBdr>
    </w:div>
    <w:div w:id="1167093078">
      <w:bodyDiv w:val="1"/>
      <w:marLeft w:val="0"/>
      <w:marRight w:val="0"/>
      <w:marTop w:val="0"/>
      <w:marBottom w:val="0"/>
      <w:divBdr>
        <w:top w:val="none" w:sz="0" w:space="0" w:color="auto"/>
        <w:left w:val="none" w:sz="0" w:space="0" w:color="auto"/>
        <w:bottom w:val="none" w:sz="0" w:space="0" w:color="auto"/>
        <w:right w:val="none" w:sz="0" w:space="0" w:color="auto"/>
      </w:divBdr>
    </w:div>
    <w:div w:id="1276520120">
      <w:bodyDiv w:val="1"/>
      <w:marLeft w:val="0"/>
      <w:marRight w:val="0"/>
      <w:marTop w:val="0"/>
      <w:marBottom w:val="0"/>
      <w:divBdr>
        <w:top w:val="none" w:sz="0" w:space="0" w:color="auto"/>
        <w:left w:val="none" w:sz="0" w:space="0" w:color="auto"/>
        <w:bottom w:val="none" w:sz="0" w:space="0" w:color="auto"/>
        <w:right w:val="none" w:sz="0" w:space="0" w:color="auto"/>
      </w:divBdr>
    </w:div>
    <w:div w:id="1380858740">
      <w:bodyDiv w:val="1"/>
      <w:marLeft w:val="0"/>
      <w:marRight w:val="0"/>
      <w:marTop w:val="0"/>
      <w:marBottom w:val="0"/>
      <w:divBdr>
        <w:top w:val="none" w:sz="0" w:space="0" w:color="auto"/>
        <w:left w:val="none" w:sz="0" w:space="0" w:color="auto"/>
        <w:bottom w:val="none" w:sz="0" w:space="0" w:color="auto"/>
        <w:right w:val="none" w:sz="0" w:space="0" w:color="auto"/>
      </w:divBdr>
    </w:div>
    <w:div w:id="1494834326">
      <w:bodyDiv w:val="1"/>
      <w:marLeft w:val="0"/>
      <w:marRight w:val="0"/>
      <w:marTop w:val="0"/>
      <w:marBottom w:val="0"/>
      <w:divBdr>
        <w:top w:val="none" w:sz="0" w:space="0" w:color="auto"/>
        <w:left w:val="none" w:sz="0" w:space="0" w:color="auto"/>
        <w:bottom w:val="none" w:sz="0" w:space="0" w:color="auto"/>
        <w:right w:val="none" w:sz="0" w:space="0" w:color="auto"/>
      </w:divBdr>
    </w:div>
    <w:div w:id="1566379946">
      <w:bodyDiv w:val="1"/>
      <w:marLeft w:val="0"/>
      <w:marRight w:val="0"/>
      <w:marTop w:val="0"/>
      <w:marBottom w:val="0"/>
      <w:divBdr>
        <w:top w:val="none" w:sz="0" w:space="0" w:color="auto"/>
        <w:left w:val="none" w:sz="0" w:space="0" w:color="auto"/>
        <w:bottom w:val="none" w:sz="0" w:space="0" w:color="auto"/>
        <w:right w:val="none" w:sz="0" w:space="0" w:color="auto"/>
      </w:divBdr>
    </w:div>
    <w:div w:id="1644500621">
      <w:bodyDiv w:val="1"/>
      <w:marLeft w:val="0"/>
      <w:marRight w:val="0"/>
      <w:marTop w:val="0"/>
      <w:marBottom w:val="0"/>
      <w:divBdr>
        <w:top w:val="none" w:sz="0" w:space="0" w:color="auto"/>
        <w:left w:val="none" w:sz="0" w:space="0" w:color="auto"/>
        <w:bottom w:val="none" w:sz="0" w:space="0" w:color="auto"/>
        <w:right w:val="none" w:sz="0" w:space="0" w:color="auto"/>
      </w:divBdr>
    </w:div>
    <w:div w:id="1674528437">
      <w:bodyDiv w:val="1"/>
      <w:marLeft w:val="0"/>
      <w:marRight w:val="0"/>
      <w:marTop w:val="0"/>
      <w:marBottom w:val="0"/>
      <w:divBdr>
        <w:top w:val="none" w:sz="0" w:space="0" w:color="auto"/>
        <w:left w:val="none" w:sz="0" w:space="0" w:color="auto"/>
        <w:bottom w:val="none" w:sz="0" w:space="0" w:color="auto"/>
        <w:right w:val="none" w:sz="0" w:space="0" w:color="auto"/>
      </w:divBdr>
    </w:div>
    <w:div w:id="1838812171">
      <w:bodyDiv w:val="1"/>
      <w:marLeft w:val="0"/>
      <w:marRight w:val="0"/>
      <w:marTop w:val="0"/>
      <w:marBottom w:val="0"/>
      <w:divBdr>
        <w:top w:val="none" w:sz="0" w:space="0" w:color="auto"/>
        <w:left w:val="none" w:sz="0" w:space="0" w:color="auto"/>
        <w:bottom w:val="none" w:sz="0" w:space="0" w:color="auto"/>
        <w:right w:val="none" w:sz="0" w:space="0" w:color="auto"/>
      </w:divBdr>
    </w:div>
    <w:div w:id="18946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ynekpierwotn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ynekpierwotny.pl/ceny/mieszkan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5A948-74EE-46C4-AA71-52FAB671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2506</Words>
  <Characters>15040</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Prajsnar</dc:creator>
  <cp:keywords/>
  <dc:description/>
  <cp:lastModifiedBy>Agnieszka Studzińska</cp:lastModifiedBy>
  <cp:revision>4</cp:revision>
  <cp:lastPrinted>2022-08-09T11:51:00Z</cp:lastPrinted>
  <dcterms:created xsi:type="dcterms:W3CDTF">2025-04-16T14:12:00Z</dcterms:created>
  <dcterms:modified xsi:type="dcterms:W3CDTF">2025-04-17T11:46:00Z</dcterms:modified>
</cp:coreProperties>
</file>