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5C0940" w14:textId="3EA115DD" w:rsidR="006170B5" w:rsidRPr="00AA312B" w:rsidRDefault="006170B5" w:rsidP="006170B5">
      <w:pPr>
        <w:jc w:val="right"/>
        <w:rPr>
          <w:rFonts w:ascii="Poppins" w:hAnsi="Poppins" w:cs="Poppins"/>
          <w:sz w:val="20"/>
          <w:szCs w:val="20"/>
        </w:rPr>
      </w:pPr>
      <w:r w:rsidRPr="00AA312B">
        <w:rPr>
          <w:rFonts w:ascii="Poppins" w:hAnsi="Poppins" w:cs="Poppins"/>
          <w:sz w:val="20"/>
          <w:szCs w:val="20"/>
        </w:rPr>
        <w:t xml:space="preserve">Warszawa, </w:t>
      </w:r>
      <w:r w:rsidR="008F135C" w:rsidRPr="00AA312B">
        <w:rPr>
          <w:rFonts w:ascii="Poppins" w:hAnsi="Poppins" w:cs="Poppins"/>
          <w:sz w:val="20"/>
          <w:szCs w:val="20"/>
        </w:rPr>
        <w:t>2</w:t>
      </w:r>
      <w:r w:rsidR="0048660E" w:rsidRPr="00AA312B">
        <w:rPr>
          <w:rFonts w:ascii="Poppins" w:hAnsi="Poppins" w:cs="Poppins"/>
          <w:sz w:val="20"/>
          <w:szCs w:val="20"/>
        </w:rPr>
        <w:t>5</w:t>
      </w:r>
      <w:r w:rsidR="00BF2F46" w:rsidRPr="00AA312B">
        <w:rPr>
          <w:rFonts w:ascii="Poppins" w:hAnsi="Poppins" w:cs="Poppins"/>
          <w:sz w:val="20"/>
          <w:szCs w:val="20"/>
        </w:rPr>
        <w:t>.</w:t>
      </w:r>
      <w:r w:rsidR="006C07E3" w:rsidRPr="00AA312B">
        <w:rPr>
          <w:rFonts w:ascii="Poppins" w:hAnsi="Poppins" w:cs="Poppins"/>
          <w:sz w:val="20"/>
          <w:szCs w:val="20"/>
        </w:rPr>
        <w:t>0</w:t>
      </w:r>
      <w:r w:rsidR="003F4D95" w:rsidRPr="00AA312B">
        <w:rPr>
          <w:rFonts w:ascii="Poppins" w:hAnsi="Poppins" w:cs="Poppins"/>
          <w:sz w:val="20"/>
          <w:szCs w:val="20"/>
        </w:rPr>
        <w:t>4</w:t>
      </w:r>
      <w:r w:rsidR="00BF2F46" w:rsidRPr="00AA312B">
        <w:rPr>
          <w:rFonts w:ascii="Poppins" w:hAnsi="Poppins" w:cs="Poppins"/>
          <w:sz w:val="20"/>
          <w:szCs w:val="20"/>
        </w:rPr>
        <w:t>.202</w:t>
      </w:r>
      <w:r w:rsidR="008F135C" w:rsidRPr="00AA312B">
        <w:rPr>
          <w:rFonts w:ascii="Poppins" w:hAnsi="Poppins" w:cs="Poppins"/>
          <w:sz w:val="20"/>
          <w:szCs w:val="20"/>
        </w:rPr>
        <w:t>5</w:t>
      </w:r>
      <w:r w:rsidR="00BF2F46" w:rsidRPr="00AA312B">
        <w:rPr>
          <w:rFonts w:ascii="Poppins" w:hAnsi="Poppins" w:cs="Poppins"/>
          <w:sz w:val="20"/>
          <w:szCs w:val="20"/>
        </w:rPr>
        <w:t xml:space="preserve"> r.</w:t>
      </w:r>
    </w:p>
    <w:p w14:paraId="1907DD98" w14:textId="562FA1F5" w:rsidR="00CA33AD" w:rsidRPr="00E76F7C" w:rsidRDefault="00293F01" w:rsidP="00CA33AD">
      <w:pPr>
        <w:rPr>
          <w:rFonts w:ascii="Poppins" w:hAnsi="Poppins" w:cs="Poppins"/>
          <w:sz w:val="20"/>
          <w:szCs w:val="20"/>
        </w:rPr>
      </w:pPr>
      <w:r w:rsidRPr="00E76F7C">
        <w:rPr>
          <w:rFonts w:ascii="Poppins" w:hAnsi="Poppins" w:cs="Poppins"/>
          <w:sz w:val="20"/>
          <w:szCs w:val="20"/>
        </w:rPr>
        <w:t xml:space="preserve">Autor: </w:t>
      </w:r>
      <w:r w:rsidR="00BF2F46" w:rsidRPr="00E76F7C">
        <w:rPr>
          <w:rFonts w:ascii="Poppins" w:hAnsi="Poppins" w:cs="Poppins"/>
          <w:sz w:val="20"/>
          <w:szCs w:val="20"/>
        </w:rPr>
        <w:t xml:space="preserve">Jarosław </w:t>
      </w:r>
      <w:proofErr w:type="spellStart"/>
      <w:r w:rsidR="00BF2F46" w:rsidRPr="00E76F7C">
        <w:rPr>
          <w:rFonts w:ascii="Poppins" w:hAnsi="Poppins" w:cs="Poppins"/>
          <w:sz w:val="20"/>
          <w:szCs w:val="20"/>
        </w:rPr>
        <w:t>Jędrzyński</w:t>
      </w:r>
      <w:proofErr w:type="spellEnd"/>
      <w:r w:rsidR="00AA312B" w:rsidRPr="00E76F7C">
        <w:rPr>
          <w:rFonts w:ascii="Poppins" w:hAnsi="Poppins" w:cs="Poppins"/>
          <w:sz w:val="20"/>
          <w:szCs w:val="20"/>
        </w:rPr>
        <w:t>, ekspert portalu RynekPierwotny.pl</w:t>
      </w:r>
    </w:p>
    <w:p w14:paraId="466DFF96" w14:textId="77777777" w:rsidR="00B81267" w:rsidRDefault="004C4395" w:rsidP="00AA312B">
      <w:pPr>
        <w:spacing w:before="120" w:after="120" w:line="240" w:lineRule="auto"/>
        <w:jc w:val="center"/>
        <w:rPr>
          <w:rFonts w:ascii="Poppins" w:hAnsi="Poppins" w:cs="Poppins"/>
          <w:b/>
          <w:bCs/>
          <w:sz w:val="40"/>
          <w:szCs w:val="40"/>
          <w:lang w:eastAsia="pl-PL"/>
        </w:rPr>
      </w:pPr>
      <w:r w:rsidRPr="00AA312B">
        <w:rPr>
          <w:rFonts w:ascii="Poppins" w:hAnsi="Poppins" w:cs="Poppins"/>
          <w:b/>
          <w:bCs/>
          <w:sz w:val="40"/>
          <w:szCs w:val="40"/>
          <w:lang w:eastAsia="pl-PL"/>
        </w:rPr>
        <w:t xml:space="preserve">Wyniki sprzedaży deweloperów </w:t>
      </w:r>
      <w:r w:rsidR="00F66EE5" w:rsidRPr="00AA312B">
        <w:rPr>
          <w:rFonts w:ascii="Poppins" w:hAnsi="Poppins" w:cs="Poppins"/>
          <w:b/>
          <w:bCs/>
          <w:sz w:val="40"/>
          <w:szCs w:val="40"/>
          <w:lang w:eastAsia="pl-PL"/>
        </w:rPr>
        <w:t xml:space="preserve">giełdowych </w:t>
      </w:r>
    </w:p>
    <w:p w14:paraId="28753E36" w14:textId="255EF1C6" w:rsidR="004C4395" w:rsidRPr="00AA312B" w:rsidRDefault="004C4395" w:rsidP="00AA312B">
      <w:pPr>
        <w:spacing w:before="120" w:after="120" w:line="240" w:lineRule="auto"/>
        <w:jc w:val="center"/>
        <w:rPr>
          <w:rFonts w:ascii="Poppins" w:hAnsi="Poppins" w:cs="Poppins"/>
          <w:b/>
          <w:bCs/>
          <w:sz w:val="40"/>
          <w:szCs w:val="40"/>
          <w:lang w:eastAsia="pl-PL"/>
        </w:rPr>
      </w:pPr>
      <w:r w:rsidRPr="00AA312B">
        <w:rPr>
          <w:rFonts w:ascii="Poppins" w:hAnsi="Poppins" w:cs="Poppins"/>
          <w:b/>
          <w:bCs/>
          <w:sz w:val="40"/>
          <w:szCs w:val="40"/>
          <w:lang w:eastAsia="pl-PL"/>
        </w:rPr>
        <w:t xml:space="preserve">w I kw. </w:t>
      </w:r>
      <w:r w:rsidR="00A75D15" w:rsidRPr="00AA312B">
        <w:rPr>
          <w:rFonts w:ascii="Poppins" w:hAnsi="Poppins" w:cs="Poppins"/>
          <w:b/>
          <w:bCs/>
          <w:sz w:val="40"/>
          <w:szCs w:val="40"/>
          <w:lang w:eastAsia="pl-PL"/>
        </w:rPr>
        <w:t xml:space="preserve">wciąż </w:t>
      </w:r>
      <w:r w:rsidR="008F135C" w:rsidRPr="00AA312B">
        <w:rPr>
          <w:rFonts w:ascii="Poppins" w:hAnsi="Poppins" w:cs="Poppins"/>
          <w:b/>
          <w:bCs/>
          <w:sz w:val="40"/>
          <w:szCs w:val="40"/>
          <w:lang w:eastAsia="pl-PL"/>
        </w:rPr>
        <w:t>w koniunkturalnym dołku</w:t>
      </w:r>
    </w:p>
    <w:p w14:paraId="4F9F134D" w14:textId="65270455" w:rsidR="00F27BE9" w:rsidRPr="00E76F7C" w:rsidRDefault="008A7207" w:rsidP="00AA312B">
      <w:pPr>
        <w:pStyle w:val="Bezodstpw"/>
        <w:spacing w:before="120" w:after="120"/>
        <w:jc w:val="both"/>
        <w:rPr>
          <w:rStyle w:val="Pogrubienie"/>
          <w:rFonts w:ascii="Poppins" w:hAnsi="Poppins" w:cs="Poppins"/>
          <w:sz w:val="21"/>
          <w:szCs w:val="21"/>
        </w:rPr>
      </w:pPr>
      <w:r w:rsidRPr="00E76F7C">
        <w:rPr>
          <w:rStyle w:val="Pogrubienie"/>
          <w:rFonts w:ascii="Poppins" w:hAnsi="Poppins" w:cs="Poppins"/>
          <w:sz w:val="21"/>
          <w:szCs w:val="21"/>
        </w:rPr>
        <w:t>Początek</w:t>
      </w:r>
      <w:r w:rsidR="004C4395" w:rsidRPr="00E76F7C">
        <w:rPr>
          <w:rStyle w:val="Pogrubienie"/>
          <w:rFonts w:ascii="Poppins" w:hAnsi="Poppins" w:cs="Poppins"/>
          <w:sz w:val="21"/>
          <w:szCs w:val="21"/>
        </w:rPr>
        <w:t xml:space="preserve"> br. okazał się dla deweloperów mieszkaniowych notowanych na rynku podstawowym i </w:t>
      </w:r>
      <w:proofErr w:type="spellStart"/>
      <w:r w:rsidR="004C4395" w:rsidRPr="00E76F7C">
        <w:rPr>
          <w:rStyle w:val="Pogrubienie"/>
          <w:rFonts w:ascii="Poppins" w:hAnsi="Poppins" w:cs="Poppins"/>
          <w:sz w:val="21"/>
          <w:szCs w:val="21"/>
        </w:rPr>
        <w:t>Catalyst</w:t>
      </w:r>
      <w:proofErr w:type="spellEnd"/>
      <w:r w:rsidR="004C4395" w:rsidRPr="00E76F7C">
        <w:rPr>
          <w:rStyle w:val="Pogrubienie"/>
          <w:rFonts w:ascii="Poppins" w:hAnsi="Poppins" w:cs="Poppins"/>
          <w:sz w:val="21"/>
          <w:szCs w:val="21"/>
        </w:rPr>
        <w:t xml:space="preserve"> warszawskiej GPW </w:t>
      </w:r>
      <w:r w:rsidR="008F135C" w:rsidRPr="00E76F7C">
        <w:rPr>
          <w:rStyle w:val="Pogrubienie"/>
          <w:rFonts w:ascii="Poppins" w:hAnsi="Poppins" w:cs="Poppins"/>
          <w:sz w:val="21"/>
          <w:szCs w:val="21"/>
        </w:rPr>
        <w:t>relatywnie słaby</w:t>
      </w:r>
      <w:r w:rsidR="00F27BE9" w:rsidRPr="00E76F7C">
        <w:rPr>
          <w:rStyle w:val="Pogrubienie"/>
          <w:rFonts w:ascii="Poppins" w:hAnsi="Poppins" w:cs="Poppins"/>
          <w:sz w:val="21"/>
          <w:szCs w:val="21"/>
        </w:rPr>
        <w:t xml:space="preserve"> </w:t>
      </w:r>
      <w:r w:rsidR="004C4395" w:rsidRPr="00E76F7C">
        <w:rPr>
          <w:rStyle w:val="Pogrubienie"/>
          <w:rFonts w:ascii="Poppins" w:hAnsi="Poppins" w:cs="Poppins"/>
          <w:sz w:val="21"/>
          <w:szCs w:val="21"/>
        </w:rPr>
        <w:t>sprzedażowo</w:t>
      </w:r>
      <w:r w:rsidR="003C7BFC" w:rsidRPr="00E76F7C">
        <w:rPr>
          <w:rStyle w:val="Pogrubienie"/>
          <w:rFonts w:ascii="Poppins" w:hAnsi="Poppins" w:cs="Poppins"/>
          <w:sz w:val="21"/>
          <w:szCs w:val="21"/>
        </w:rPr>
        <w:t>.</w:t>
      </w:r>
      <w:r w:rsidRPr="00E76F7C">
        <w:rPr>
          <w:rStyle w:val="Pogrubienie"/>
          <w:rFonts w:ascii="Poppins" w:hAnsi="Poppins" w:cs="Poppins"/>
          <w:sz w:val="21"/>
          <w:szCs w:val="21"/>
        </w:rPr>
        <w:t xml:space="preserve"> </w:t>
      </w:r>
      <w:r w:rsidR="00AA312B" w:rsidRPr="00E76F7C">
        <w:rPr>
          <w:rStyle w:val="Pogrubienie"/>
          <w:rFonts w:ascii="Poppins" w:hAnsi="Poppins" w:cs="Poppins"/>
          <w:sz w:val="21"/>
          <w:szCs w:val="21"/>
        </w:rPr>
        <w:t>Jak zauważają eksperci portalu RynekPierwotny.pl n</w:t>
      </w:r>
      <w:r w:rsidR="00FA57AE" w:rsidRPr="00E76F7C">
        <w:rPr>
          <w:rStyle w:val="Pogrubienie"/>
          <w:rFonts w:ascii="Poppins" w:hAnsi="Poppins" w:cs="Poppins"/>
          <w:sz w:val="21"/>
          <w:szCs w:val="21"/>
        </w:rPr>
        <w:t>ajnowsze</w:t>
      </w:r>
      <w:r w:rsidRPr="00E76F7C">
        <w:rPr>
          <w:rStyle w:val="Pogrubienie"/>
          <w:rFonts w:ascii="Poppins" w:hAnsi="Poppins" w:cs="Poppins"/>
          <w:sz w:val="21"/>
          <w:szCs w:val="21"/>
        </w:rPr>
        <w:t xml:space="preserve"> statystyki kontraktacji </w:t>
      </w:r>
      <w:r w:rsidR="00FA57AE" w:rsidRPr="00E76F7C">
        <w:rPr>
          <w:rStyle w:val="Pogrubienie"/>
          <w:rFonts w:ascii="Poppins" w:hAnsi="Poppins" w:cs="Poppins"/>
          <w:sz w:val="21"/>
          <w:szCs w:val="21"/>
        </w:rPr>
        <w:t xml:space="preserve">rynkowych tuzów zarówno </w:t>
      </w:r>
      <w:r w:rsidRPr="00E76F7C">
        <w:rPr>
          <w:rStyle w:val="Pogrubienie"/>
          <w:rFonts w:ascii="Poppins" w:hAnsi="Poppins" w:cs="Poppins"/>
          <w:sz w:val="21"/>
          <w:szCs w:val="21"/>
        </w:rPr>
        <w:t>w relacji rok do roku</w:t>
      </w:r>
      <w:r w:rsidR="00AA312B" w:rsidRPr="00E76F7C">
        <w:rPr>
          <w:rStyle w:val="Pogrubienie"/>
          <w:rFonts w:ascii="Poppins" w:hAnsi="Poppins" w:cs="Poppins"/>
          <w:sz w:val="21"/>
          <w:szCs w:val="21"/>
        </w:rPr>
        <w:t>,</w:t>
      </w:r>
      <w:r w:rsidRPr="00E76F7C">
        <w:rPr>
          <w:rStyle w:val="Pogrubienie"/>
          <w:rFonts w:ascii="Poppins" w:hAnsi="Poppins" w:cs="Poppins"/>
          <w:sz w:val="21"/>
          <w:szCs w:val="21"/>
        </w:rPr>
        <w:t xml:space="preserve"> </w:t>
      </w:r>
      <w:r w:rsidR="00FA57AE" w:rsidRPr="00E76F7C">
        <w:rPr>
          <w:rStyle w:val="Pogrubienie"/>
          <w:rFonts w:ascii="Poppins" w:hAnsi="Poppins" w:cs="Poppins"/>
          <w:sz w:val="21"/>
          <w:szCs w:val="21"/>
        </w:rPr>
        <w:t>jak i kwartał do kwartału</w:t>
      </w:r>
      <w:r w:rsidR="00AA312B" w:rsidRPr="00E76F7C">
        <w:rPr>
          <w:rStyle w:val="Pogrubienie"/>
          <w:rFonts w:ascii="Poppins" w:hAnsi="Poppins" w:cs="Poppins"/>
          <w:sz w:val="21"/>
          <w:szCs w:val="21"/>
        </w:rPr>
        <w:t>,</w:t>
      </w:r>
      <w:r w:rsidR="00FA57AE" w:rsidRPr="00E76F7C">
        <w:rPr>
          <w:rStyle w:val="Pogrubienie"/>
          <w:rFonts w:ascii="Poppins" w:hAnsi="Poppins" w:cs="Poppins"/>
          <w:sz w:val="21"/>
          <w:szCs w:val="21"/>
        </w:rPr>
        <w:t xml:space="preserve"> </w:t>
      </w:r>
      <w:r w:rsidRPr="00E76F7C">
        <w:rPr>
          <w:rStyle w:val="Pogrubienie"/>
          <w:rFonts w:ascii="Poppins" w:hAnsi="Poppins" w:cs="Poppins"/>
          <w:sz w:val="21"/>
          <w:szCs w:val="21"/>
        </w:rPr>
        <w:t>potwierdza</w:t>
      </w:r>
      <w:r w:rsidR="00FA57AE" w:rsidRPr="00E76F7C">
        <w:rPr>
          <w:rStyle w:val="Pogrubienie"/>
          <w:rFonts w:ascii="Poppins" w:hAnsi="Poppins" w:cs="Poppins"/>
          <w:sz w:val="21"/>
          <w:szCs w:val="21"/>
        </w:rPr>
        <w:t>ją</w:t>
      </w:r>
      <w:r w:rsidRPr="00E76F7C">
        <w:rPr>
          <w:rStyle w:val="Pogrubienie"/>
          <w:rFonts w:ascii="Poppins" w:hAnsi="Poppins" w:cs="Poppins"/>
          <w:sz w:val="21"/>
          <w:szCs w:val="21"/>
        </w:rPr>
        <w:t xml:space="preserve"> tezę o </w:t>
      </w:r>
      <w:r w:rsidR="00FA57AE" w:rsidRPr="00E76F7C">
        <w:rPr>
          <w:rStyle w:val="Pogrubienie"/>
          <w:rFonts w:ascii="Poppins" w:hAnsi="Poppins" w:cs="Poppins"/>
          <w:sz w:val="21"/>
          <w:szCs w:val="21"/>
        </w:rPr>
        <w:t xml:space="preserve">trwaniu rynku pierwotnego </w:t>
      </w:r>
      <w:r w:rsidR="008F135C" w:rsidRPr="00E76F7C">
        <w:rPr>
          <w:rStyle w:val="Pogrubienie"/>
          <w:rFonts w:ascii="Poppins" w:hAnsi="Poppins" w:cs="Poppins"/>
          <w:sz w:val="21"/>
          <w:szCs w:val="21"/>
        </w:rPr>
        <w:t>w stanie spowolnienia koniunktury sprzedażowej.</w:t>
      </w:r>
    </w:p>
    <w:p w14:paraId="5DC38982" w14:textId="17076A76" w:rsidR="004C4395" w:rsidRPr="00E76F7C" w:rsidRDefault="008F135C" w:rsidP="00AA312B">
      <w:pPr>
        <w:spacing w:before="120" w:after="120" w:line="240" w:lineRule="auto"/>
        <w:jc w:val="both"/>
        <w:rPr>
          <w:rFonts w:ascii="Poppins" w:hAnsi="Poppins" w:cs="Poppins"/>
          <w:b/>
          <w:bCs/>
          <w:sz w:val="21"/>
          <w:szCs w:val="21"/>
          <w:lang w:eastAsia="pl-PL"/>
        </w:rPr>
      </w:pPr>
      <w:r w:rsidRPr="00E76F7C">
        <w:rPr>
          <w:rFonts w:ascii="Poppins" w:hAnsi="Poppins" w:cs="Poppins"/>
          <w:b/>
          <w:bCs/>
          <w:sz w:val="21"/>
          <w:szCs w:val="21"/>
          <w:lang w:eastAsia="pl-PL"/>
        </w:rPr>
        <w:t xml:space="preserve">Regres </w:t>
      </w:r>
      <w:r w:rsidR="00FA57AE" w:rsidRPr="00E76F7C">
        <w:rPr>
          <w:rFonts w:ascii="Poppins" w:hAnsi="Poppins" w:cs="Poppins"/>
          <w:b/>
          <w:bCs/>
          <w:sz w:val="21"/>
          <w:szCs w:val="21"/>
          <w:lang w:eastAsia="pl-PL"/>
        </w:rPr>
        <w:t>w</w:t>
      </w:r>
      <w:r w:rsidR="00331728" w:rsidRPr="00E76F7C">
        <w:rPr>
          <w:rFonts w:ascii="Poppins" w:hAnsi="Poppins" w:cs="Poppins"/>
          <w:b/>
          <w:bCs/>
          <w:sz w:val="21"/>
          <w:szCs w:val="21"/>
          <w:lang w:eastAsia="pl-PL"/>
        </w:rPr>
        <w:t xml:space="preserve"> s</w:t>
      </w:r>
      <w:r w:rsidR="004C4395" w:rsidRPr="00E76F7C">
        <w:rPr>
          <w:rFonts w:ascii="Poppins" w:hAnsi="Poppins" w:cs="Poppins"/>
          <w:b/>
          <w:bCs/>
          <w:sz w:val="21"/>
          <w:szCs w:val="21"/>
          <w:lang w:eastAsia="pl-PL"/>
        </w:rPr>
        <w:t>przedaż</w:t>
      </w:r>
      <w:r w:rsidR="00331728" w:rsidRPr="00E76F7C">
        <w:rPr>
          <w:rFonts w:ascii="Poppins" w:hAnsi="Poppins" w:cs="Poppins"/>
          <w:b/>
          <w:bCs/>
          <w:sz w:val="21"/>
          <w:szCs w:val="21"/>
          <w:lang w:eastAsia="pl-PL"/>
        </w:rPr>
        <w:t>y</w:t>
      </w:r>
      <w:r w:rsidR="004C4395" w:rsidRPr="00E76F7C">
        <w:rPr>
          <w:rFonts w:ascii="Poppins" w:hAnsi="Poppins" w:cs="Poppins"/>
          <w:b/>
          <w:bCs/>
          <w:sz w:val="21"/>
          <w:szCs w:val="21"/>
          <w:lang w:eastAsia="pl-PL"/>
        </w:rPr>
        <w:t xml:space="preserve"> </w:t>
      </w:r>
      <w:r w:rsidRPr="00E76F7C">
        <w:rPr>
          <w:rFonts w:ascii="Poppins" w:hAnsi="Poppins" w:cs="Poppins"/>
          <w:b/>
          <w:bCs/>
          <w:sz w:val="21"/>
          <w:szCs w:val="21"/>
          <w:lang w:eastAsia="pl-PL"/>
        </w:rPr>
        <w:t xml:space="preserve">nowych </w:t>
      </w:r>
      <w:r w:rsidR="004C4395" w:rsidRPr="00E76F7C">
        <w:rPr>
          <w:rFonts w:ascii="Poppins" w:hAnsi="Poppins" w:cs="Poppins"/>
          <w:b/>
          <w:bCs/>
          <w:sz w:val="21"/>
          <w:szCs w:val="21"/>
          <w:lang w:eastAsia="pl-PL"/>
        </w:rPr>
        <w:t xml:space="preserve">mieszkań </w:t>
      </w:r>
      <w:r w:rsidRPr="00E76F7C">
        <w:rPr>
          <w:rFonts w:ascii="Poppins" w:hAnsi="Poppins" w:cs="Poppins"/>
          <w:b/>
          <w:bCs/>
          <w:sz w:val="21"/>
          <w:szCs w:val="21"/>
          <w:lang w:eastAsia="pl-PL"/>
        </w:rPr>
        <w:t>wciąż aktualny</w:t>
      </w:r>
    </w:p>
    <w:p w14:paraId="12B6487B" w14:textId="447A4DEA" w:rsidR="004C4395" w:rsidRPr="00E76F7C" w:rsidRDefault="004C4395" w:rsidP="00AA312B">
      <w:pPr>
        <w:spacing w:before="120" w:after="120" w:line="240" w:lineRule="auto"/>
        <w:jc w:val="both"/>
        <w:rPr>
          <w:rFonts w:ascii="Poppins" w:hAnsi="Poppins" w:cs="Poppins"/>
          <w:sz w:val="21"/>
          <w:szCs w:val="21"/>
          <w:lang w:eastAsia="pl-PL"/>
        </w:rPr>
      </w:pPr>
      <w:r w:rsidRPr="00E76F7C">
        <w:rPr>
          <w:rFonts w:ascii="Poppins" w:hAnsi="Poppins" w:cs="Poppins"/>
          <w:sz w:val="21"/>
          <w:szCs w:val="21"/>
          <w:lang w:eastAsia="pl-PL"/>
        </w:rPr>
        <w:t xml:space="preserve">Po </w:t>
      </w:r>
      <w:r w:rsidR="00FA57AE" w:rsidRPr="00E76F7C">
        <w:rPr>
          <w:rFonts w:ascii="Poppins" w:hAnsi="Poppins" w:cs="Poppins"/>
          <w:sz w:val="21"/>
          <w:szCs w:val="21"/>
          <w:lang w:eastAsia="pl-PL"/>
        </w:rPr>
        <w:t xml:space="preserve">ubiegłorocznym </w:t>
      </w:r>
      <w:r w:rsidR="007B4B9C" w:rsidRPr="00E76F7C">
        <w:rPr>
          <w:rFonts w:ascii="Poppins" w:hAnsi="Poppins" w:cs="Poppins"/>
          <w:sz w:val="21"/>
          <w:szCs w:val="21"/>
          <w:lang w:eastAsia="pl-PL"/>
        </w:rPr>
        <w:t xml:space="preserve">wyhamowaniu </w:t>
      </w:r>
      <w:r w:rsidR="00FD5C22" w:rsidRPr="00E76F7C">
        <w:rPr>
          <w:rFonts w:ascii="Poppins" w:hAnsi="Poppins" w:cs="Poppins"/>
          <w:sz w:val="21"/>
          <w:szCs w:val="21"/>
          <w:lang w:eastAsia="pl-PL"/>
        </w:rPr>
        <w:t>koniunktury sprzedażowej na pierwotnym rynku mieszkaniowym</w:t>
      </w:r>
      <w:r w:rsidR="0030376C" w:rsidRPr="00E76F7C">
        <w:rPr>
          <w:rFonts w:ascii="Poppins" w:hAnsi="Poppins" w:cs="Poppins"/>
          <w:sz w:val="21"/>
          <w:szCs w:val="21"/>
          <w:lang w:eastAsia="pl-PL"/>
        </w:rPr>
        <w:t>,</w:t>
      </w:r>
      <w:r w:rsidR="00FD5C22" w:rsidRPr="00E76F7C">
        <w:rPr>
          <w:rFonts w:ascii="Poppins" w:hAnsi="Poppins" w:cs="Poppins"/>
          <w:sz w:val="21"/>
          <w:szCs w:val="21"/>
          <w:lang w:eastAsia="pl-PL"/>
        </w:rPr>
        <w:t xml:space="preserve"> </w:t>
      </w:r>
      <w:r w:rsidR="00451CA3" w:rsidRPr="00E76F7C">
        <w:rPr>
          <w:rFonts w:ascii="Poppins" w:hAnsi="Poppins" w:cs="Poppins"/>
          <w:sz w:val="21"/>
          <w:szCs w:val="21"/>
          <w:lang w:eastAsia="pl-PL"/>
        </w:rPr>
        <w:t xml:space="preserve"> </w:t>
      </w:r>
      <w:r w:rsidR="00FD5C22" w:rsidRPr="00E76F7C">
        <w:rPr>
          <w:rFonts w:ascii="Poppins" w:hAnsi="Poppins" w:cs="Poppins"/>
          <w:sz w:val="21"/>
          <w:szCs w:val="21"/>
          <w:lang w:eastAsia="pl-PL"/>
        </w:rPr>
        <w:t xml:space="preserve">pierwszy kwartał br. </w:t>
      </w:r>
      <w:r w:rsidR="007B4B9C" w:rsidRPr="00E76F7C">
        <w:rPr>
          <w:rFonts w:ascii="Poppins" w:hAnsi="Poppins" w:cs="Poppins"/>
          <w:sz w:val="21"/>
          <w:szCs w:val="21"/>
          <w:lang w:eastAsia="pl-PL"/>
        </w:rPr>
        <w:t xml:space="preserve">nie zaskoczył w żaden pozytywny sposób, komunikując trwanie pierwotnego segmentu krajowej mieszkaniówki w cyklicznym spowolnieniu. Taki stan rzeczy nie ominął stawki notowanych na GPW branżowych tuzów, w przypadku których w pierwszych trzech miesiącach br. </w:t>
      </w:r>
      <w:r w:rsidR="004908B5" w:rsidRPr="00E76F7C">
        <w:rPr>
          <w:rFonts w:ascii="Poppins" w:hAnsi="Poppins" w:cs="Poppins"/>
          <w:sz w:val="21"/>
          <w:szCs w:val="21"/>
          <w:lang w:eastAsia="pl-PL"/>
        </w:rPr>
        <w:t xml:space="preserve">nastąpił istotny </w:t>
      </w:r>
      <w:r w:rsidR="007B4B9C" w:rsidRPr="00E76F7C">
        <w:rPr>
          <w:rFonts w:ascii="Poppins" w:hAnsi="Poppins" w:cs="Poppins"/>
          <w:sz w:val="21"/>
          <w:szCs w:val="21"/>
          <w:lang w:eastAsia="pl-PL"/>
        </w:rPr>
        <w:t xml:space="preserve">spadek </w:t>
      </w:r>
      <w:r w:rsidR="00FD5C22" w:rsidRPr="00E76F7C">
        <w:rPr>
          <w:rFonts w:ascii="Poppins" w:hAnsi="Poppins" w:cs="Poppins"/>
          <w:sz w:val="21"/>
          <w:szCs w:val="21"/>
          <w:lang w:eastAsia="pl-PL"/>
        </w:rPr>
        <w:t xml:space="preserve"> </w:t>
      </w:r>
      <w:r w:rsidR="007B4B9C" w:rsidRPr="00E76F7C">
        <w:rPr>
          <w:rFonts w:ascii="Poppins" w:hAnsi="Poppins" w:cs="Poppins"/>
          <w:sz w:val="21"/>
          <w:szCs w:val="21"/>
          <w:lang w:eastAsia="pl-PL"/>
        </w:rPr>
        <w:t>kontraktacji w relacji rok do ro</w:t>
      </w:r>
      <w:r w:rsidR="004908B5" w:rsidRPr="00E76F7C">
        <w:rPr>
          <w:rFonts w:ascii="Poppins" w:hAnsi="Poppins" w:cs="Poppins"/>
          <w:sz w:val="21"/>
          <w:szCs w:val="21"/>
          <w:lang w:eastAsia="pl-PL"/>
        </w:rPr>
        <w:t>ku.</w:t>
      </w:r>
      <w:r w:rsidR="0030376C" w:rsidRPr="00E76F7C">
        <w:rPr>
          <w:rFonts w:ascii="Poppins" w:hAnsi="Poppins" w:cs="Poppins"/>
          <w:sz w:val="21"/>
          <w:szCs w:val="21"/>
          <w:lang w:eastAsia="pl-PL"/>
        </w:rPr>
        <w:t xml:space="preserve"> </w:t>
      </w:r>
    </w:p>
    <w:p w14:paraId="7040A732" w14:textId="04F30259" w:rsidR="00571D71" w:rsidRPr="00E76F7C" w:rsidRDefault="00571D71" w:rsidP="00AA312B">
      <w:pPr>
        <w:spacing w:before="120" w:after="120" w:line="240" w:lineRule="auto"/>
        <w:jc w:val="both"/>
        <w:rPr>
          <w:rFonts w:ascii="Poppins" w:hAnsi="Poppins" w:cs="Poppins"/>
          <w:sz w:val="21"/>
          <w:szCs w:val="21"/>
          <w:lang w:eastAsia="pl-PL"/>
        </w:rPr>
      </w:pPr>
      <w:r w:rsidRPr="00E76F7C">
        <w:rPr>
          <w:rFonts w:ascii="Poppins" w:hAnsi="Poppins" w:cs="Poppins"/>
          <w:sz w:val="21"/>
          <w:szCs w:val="21"/>
          <w:lang w:eastAsia="pl-PL"/>
        </w:rPr>
        <w:t>Prezentowana stawka deweloperów mieszkaniowych w pierwszy</w:t>
      </w:r>
      <w:r w:rsidR="004908B5" w:rsidRPr="00E76F7C">
        <w:rPr>
          <w:rFonts w:ascii="Poppins" w:hAnsi="Poppins" w:cs="Poppins"/>
          <w:sz w:val="21"/>
          <w:szCs w:val="21"/>
          <w:lang w:eastAsia="pl-PL"/>
        </w:rPr>
        <w:t xml:space="preserve">m kwartale </w:t>
      </w:r>
      <w:r w:rsidRPr="00E76F7C">
        <w:rPr>
          <w:rFonts w:ascii="Poppins" w:hAnsi="Poppins" w:cs="Poppins"/>
          <w:sz w:val="21"/>
          <w:szCs w:val="21"/>
          <w:lang w:eastAsia="pl-PL"/>
        </w:rPr>
        <w:t xml:space="preserve">br. znalazła nabywców na </w:t>
      </w:r>
      <w:r w:rsidR="004908B5" w:rsidRPr="00E76F7C">
        <w:rPr>
          <w:rFonts w:ascii="Poppins" w:hAnsi="Poppins" w:cs="Poppins"/>
          <w:sz w:val="21"/>
          <w:szCs w:val="21"/>
          <w:lang w:eastAsia="pl-PL"/>
        </w:rPr>
        <w:t xml:space="preserve">4959 </w:t>
      </w:r>
      <w:r w:rsidRPr="00E76F7C">
        <w:rPr>
          <w:rFonts w:ascii="Poppins" w:hAnsi="Poppins" w:cs="Poppins"/>
          <w:sz w:val="21"/>
          <w:szCs w:val="21"/>
          <w:lang w:eastAsia="pl-PL"/>
        </w:rPr>
        <w:t>lokali</w:t>
      </w:r>
      <w:r w:rsidR="004908B5" w:rsidRPr="00E76F7C">
        <w:rPr>
          <w:rFonts w:ascii="Poppins" w:hAnsi="Poppins" w:cs="Poppins"/>
          <w:sz w:val="21"/>
          <w:szCs w:val="21"/>
          <w:lang w:eastAsia="pl-PL"/>
        </w:rPr>
        <w:t xml:space="preserve">. </w:t>
      </w:r>
      <w:r w:rsidRPr="00E76F7C">
        <w:rPr>
          <w:rFonts w:ascii="Poppins" w:hAnsi="Poppins" w:cs="Poppins"/>
          <w:sz w:val="21"/>
          <w:szCs w:val="21"/>
          <w:lang w:eastAsia="pl-PL"/>
        </w:rPr>
        <w:t xml:space="preserve">To o </w:t>
      </w:r>
      <w:r w:rsidR="00A75D15" w:rsidRPr="00E76F7C">
        <w:rPr>
          <w:rFonts w:ascii="Poppins" w:hAnsi="Poppins" w:cs="Poppins"/>
          <w:sz w:val="21"/>
          <w:szCs w:val="21"/>
          <w:lang w:eastAsia="pl-PL"/>
        </w:rPr>
        <w:t>1</w:t>
      </w:r>
      <w:r w:rsidR="004908B5" w:rsidRPr="00E76F7C">
        <w:rPr>
          <w:rFonts w:ascii="Poppins" w:hAnsi="Poppins" w:cs="Poppins"/>
          <w:sz w:val="21"/>
          <w:szCs w:val="21"/>
          <w:lang w:eastAsia="pl-PL"/>
        </w:rPr>
        <w:t xml:space="preserve">6 </w:t>
      </w:r>
      <w:r w:rsidRPr="00E76F7C">
        <w:rPr>
          <w:rFonts w:ascii="Poppins" w:hAnsi="Poppins" w:cs="Poppins"/>
          <w:sz w:val="21"/>
          <w:szCs w:val="21"/>
          <w:lang w:eastAsia="pl-PL"/>
        </w:rPr>
        <w:t xml:space="preserve">proc. </w:t>
      </w:r>
      <w:r w:rsidR="004908B5" w:rsidRPr="00E76F7C">
        <w:rPr>
          <w:rFonts w:ascii="Poppins" w:hAnsi="Poppins" w:cs="Poppins"/>
          <w:sz w:val="21"/>
          <w:szCs w:val="21"/>
          <w:lang w:eastAsia="pl-PL"/>
        </w:rPr>
        <w:t>mniej</w:t>
      </w:r>
      <w:r w:rsidRPr="00E76F7C">
        <w:rPr>
          <w:rFonts w:ascii="Poppins" w:hAnsi="Poppins" w:cs="Poppins"/>
          <w:sz w:val="21"/>
          <w:szCs w:val="21"/>
          <w:lang w:eastAsia="pl-PL"/>
        </w:rPr>
        <w:t xml:space="preserve"> licząc rok do roku, jednocześnie jednak </w:t>
      </w:r>
      <w:r w:rsidR="00A75D15" w:rsidRPr="00E76F7C">
        <w:rPr>
          <w:rFonts w:ascii="Poppins" w:hAnsi="Poppins" w:cs="Poppins"/>
          <w:sz w:val="21"/>
          <w:szCs w:val="21"/>
          <w:lang w:eastAsia="pl-PL"/>
        </w:rPr>
        <w:t>o</w:t>
      </w:r>
      <w:r w:rsidR="004908B5" w:rsidRPr="00E76F7C">
        <w:rPr>
          <w:rFonts w:ascii="Poppins" w:hAnsi="Poppins" w:cs="Poppins"/>
          <w:sz w:val="21"/>
          <w:szCs w:val="21"/>
          <w:lang w:eastAsia="pl-PL"/>
        </w:rPr>
        <w:t xml:space="preserve"> symboliczne</w:t>
      </w:r>
      <w:r w:rsidR="00A75D15" w:rsidRPr="00E76F7C">
        <w:rPr>
          <w:rFonts w:ascii="Poppins" w:hAnsi="Poppins" w:cs="Poppins"/>
          <w:sz w:val="21"/>
          <w:szCs w:val="21"/>
          <w:lang w:eastAsia="pl-PL"/>
        </w:rPr>
        <w:t xml:space="preserve"> </w:t>
      </w:r>
      <w:r w:rsidR="00AA312B" w:rsidRPr="00E76F7C">
        <w:rPr>
          <w:rFonts w:ascii="Poppins" w:hAnsi="Poppins" w:cs="Poppins"/>
          <w:sz w:val="21"/>
          <w:szCs w:val="21"/>
          <w:lang w:eastAsia="pl-PL"/>
        </w:rPr>
        <w:t>ok.</w:t>
      </w:r>
      <w:r w:rsidR="004908B5" w:rsidRPr="00E76F7C">
        <w:rPr>
          <w:rFonts w:ascii="Poppins" w:hAnsi="Poppins" w:cs="Poppins"/>
          <w:sz w:val="21"/>
          <w:szCs w:val="21"/>
          <w:lang w:eastAsia="pl-PL"/>
        </w:rPr>
        <w:t xml:space="preserve"> 2</w:t>
      </w:r>
      <w:r w:rsidR="00A75D15" w:rsidRPr="00E76F7C">
        <w:rPr>
          <w:rFonts w:ascii="Poppins" w:hAnsi="Poppins" w:cs="Poppins"/>
          <w:sz w:val="21"/>
          <w:szCs w:val="21"/>
          <w:lang w:eastAsia="pl-PL"/>
        </w:rPr>
        <w:t xml:space="preserve"> proc. </w:t>
      </w:r>
      <w:r w:rsidR="004908B5" w:rsidRPr="00E76F7C">
        <w:rPr>
          <w:rFonts w:ascii="Poppins" w:hAnsi="Poppins" w:cs="Poppins"/>
          <w:sz w:val="21"/>
          <w:szCs w:val="21"/>
          <w:lang w:eastAsia="pl-PL"/>
        </w:rPr>
        <w:t>więcej</w:t>
      </w:r>
      <w:r w:rsidRPr="00E76F7C">
        <w:rPr>
          <w:rFonts w:ascii="Poppins" w:hAnsi="Poppins" w:cs="Poppins"/>
          <w:sz w:val="21"/>
          <w:szCs w:val="21"/>
          <w:lang w:eastAsia="pl-PL"/>
        </w:rPr>
        <w:t xml:space="preserve"> w relacji </w:t>
      </w:r>
      <w:r w:rsidR="004908B5" w:rsidRPr="00E76F7C">
        <w:rPr>
          <w:rFonts w:ascii="Poppins" w:hAnsi="Poppins" w:cs="Poppins"/>
          <w:sz w:val="21"/>
          <w:szCs w:val="21"/>
          <w:lang w:eastAsia="pl-PL"/>
        </w:rPr>
        <w:t xml:space="preserve">kwartał do kwartału, czyli w stosunku </w:t>
      </w:r>
      <w:r w:rsidRPr="00E76F7C">
        <w:rPr>
          <w:rFonts w:ascii="Poppins" w:hAnsi="Poppins" w:cs="Poppins"/>
          <w:sz w:val="21"/>
          <w:szCs w:val="21"/>
          <w:lang w:eastAsia="pl-PL"/>
        </w:rPr>
        <w:t>do ostatni</w:t>
      </w:r>
      <w:r w:rsidR="004908B5" w:rsidRPr="00E76F7C">
        <w:rPr>
          <w:rFonts w:ascii="Poppins" w:hAnsi="Poppins" w:cs="Poppins"/>
          <w:sz w:val="21"/>
          <w:szCs w:val="21"/>
          <w:lang w:eastAsia="pl-PL"/>
        </w:rPr>
        <w:t>ch trzech miesięcy</w:t>
      </w:r>
      <w:r w:rsidRPr="00E76F7C">
        <w:rPr>
          <w:rFonts w:ascii="Poppins" w:hAnsi="Poppins" w:cs="Poppins"/>
          <w:sz w:val="21"/>
          <w:szCs w:val="21"/>
          <w:lang w:eastAsia="pl-PL"/>
        </w:rPr>
        <w:t xml:space="preserve"> 202</w:t>
      </w:r>
      <w:r w:rsidR="004908B5" w:rsidRPr="00E76F7C">
        <w:rPr>
          <w:rFonts w:ascii="Poppins" w:hAnsi="Poppins" w:cs="Poppins"/>
          <w:sz w:val="21"/>
          <w:szCs w:val="21"/>
          <w:lang w:eastAsia="pl-PL"/>
        </w:rPr>
        <w:t>4</w:t>
      </w:r>
      <w:r w:rsidRPr="00E76F7C">
        <w:rPr>
          <w:rFonts w:ascii="Poppins" w:hAnsi="Poppins" w:cs="Poppins"/>
          <w:sz w:val="21"/>
          <w:szCs w:val="21"/>
          <w:lang w:eastAsia="pl-PL"/>
        </w:rPr>
        <w:t xml:space="preserve"> r.</w:t>
      </w:r>
      <w:r w:rsidR="004908B5" w:rsidRPr="00E76F7C">
        <w:rPr>
          <w:rFonts w:ascii="Poppins" w:hAnsi="Poppins" w:cs="Poppins"/>
          <w:sz w:val="21"/>
          <w:szCs w:val="21"/>
          <w:lang w:eastAsia="pl-PL"/>
        </w:rPr>
        <w:t xml:space="preserve"> Tego typu </w:t>
      </w:r>
      <w:r w:rsidR="00A45876" w:rsidRPr="00E76F7C">
        <w:rPr>
          <w:rFonts w:ascii="Poppins" w:hAnsi="Poppins" w:cs="Poppins"/>
          <w:sz w:val="21"/>
          <w:szCs w:val="21"/>
          <w:lang w:eastAsia="pl-PL"/>
        </w:rPr>
        <w:t xml:space="preserve">relacje </w:t>
      </w:r>
      <w:r w:rsidR="004908B5" w:rsidRPr="00E76F7C">
        <w:rPr>
          <w:rFonts w:ascii="Poppins" w:hAnsi="Poppins" w:cs="Poppins"/>
          <w:sz w:val="21"/>
          <w:szCs w:val="21"/>
          <w:lang w:eastAsia="pl-PL"/>
        </w:rPr>
        <w:t xml:space="preserve">mogą świadczyć o </w:t>
      </w:r>
      <w:r w:rsidR="00A45876" w:rsidRPr="00E76F7C">
        <w:rPr>
          <w:rFonts w:ascii="Poppins" w:hAnsi="Poppins" w:cs="Poppins"/>
          <w:sz w:val="21"/>
          <w:szCs w:val="21"/>
          <w:lang w:eastAsia="pl-PL"/>
        </w:rPr>
        <w:t xml:space="preserve">dotarciu statystyk sprzedażowych pierwotnego rynku mieszkaniowego do koniunkturalnego dołka, z którego jeszcze w roku bieżącym może nadejść </w:t>
      </w:r>
      <w:r w:rsidR="00DA709E" w:rsidRPr="00E76F7C">
        <w:rPr>
          <w:rFonts w:ascii="Poppins" w:hAnsi="Poppins" w:cs="Poppins"/>
          <w:sz w:val="21"/>
          <w:szCs w:val="21"/>
          <w:lang w:eastAsia="pl-PL"/>
        </w:rPr>
        <w:t xml:space="preserve">ich </w:t>
      </w:r>
      <w:r w:rsidR="00A45876" w:rsidRPr="00E76F7C">
        <w:rPr>
          <w:rFonts w:ascii="Poppins" w:hAnsi="Poppins" w:cs="Poppins"/>
          <w:sz w:val="21"/>
          <w:szCs w:val="21"/>
          <w:lang w:eastAsia="pl-PL"/>
        </w:rPr>
        <w:t xml:space="preserve">przynajmniej </w:t>
      </w:r>
      <w:r w:rsidR="00BC2A91" w:rsidRPr="00E76F7C">
        <w:rPr>
          <w:rFonts w:ascii="Poppins" w:hAnsi="Poppins" w:cs="Poppins"/>
          <w:sz w:val="21"/>
          <w:szCs w:val="21"/>
          <w:lang w:eastAsia="pl-PL"/>
        </w:rPr>
        <w:t>umiarkowane o</w:t>
      </w:r>
      <w:r w:rsidR="00DA709E" w:rsidRPr="00E76F7C">
        <w:rPr>
          <w:rFonts w:ascii="Poppins" w:hAnsi="Poppins" w:cs="Poppins"/>
          <w:sz w:val="21"/>
          <w:szCs w:val="21"/>
          <w:lang w:eastAsia="pl-PL"/>
        </w:rPr>
        <w:t>dbicie</w:t>
      </w:r>
      <w:r w:rsidR="00BC2A91" w:rsidRPr="00E76F7C">
        <w:rPr>
          <w:rFonts w:ascii="Poppins" w:hAnsi="Poppins" w:cs="Poppins"/>
          <w:sz w:val="21"/>
          <w:szCs w:val="21"/>
          <w:lang w:eastAsia="pl-PL"/>
        </w:rPr>
        <w:t>.</w:t>
      </w:r>
      <w:r w:rsidR="00A75D15" w:rsidRPr="00E76F7C">
        <w:rPr>
          <w:rFonts w:ascii="Poppins" w:hAnsi="Poppins" w:cs="Poppins"/>
          <w:sz w:val="21"/>
          <w:szCs w:val="21"/>
          <w:lang w:eastAsia="pl-PL"/>
        </w:rPr>
        <w:t xml:space="preserve"> </w:t>
      </w:r>
    </w:p>
    <w:p w14:paraId="74290F03" w14:textId="3E2DBFC4" w:rsidR="008C4684" w:rsidRPr="00E76F7C" w:rsidRDefault="00932965" w:rsidP="00AA312B">
      <w:pPr>
        <w:spacing w:before="120" w:after="120" w:line="240" w:lineRule="auto"/>
        <w:jc w:val="both"/>
        <w:rPr>
          <w:rFonts w:ascii="Poppins" w:hAnsi="Poppins" w:cs="Poppins"/>
          <w:b/>
          <w:bCs/>
          <w:sz w:val="21"/>
          <w:szCs w:val="21"/>
          <w:lang w:eastAsia="pl-PL"/>
        </w:rPr>
      </w:pPr>
      <w:r w:rsidRPr="00E76F7C">
        <w:rPr>
          <w:rFonts w:ascii="Poppins" w:hAnsi="Poppins" w:cs="Poppins"/>
          <w:b/>
          <w:bCs/>
          <w:sz w:val="21"/>
          <w:szCs w:val="21"/>
          <w:lang w:eastAsia="pl-PL"/>
        </w:rPr>
        <w:t>W</w:t>
      </w:r>
      <w:r w:rsidR="00042FD9" w:rsidRPr="00E76F7C">
        <w:rPr>
          <w:rFonts w:ascii="Poppins" w:hAnsi="Poppins" w:cs="Poppins"/>
          <w:b/>
          <w:bCs/>
          <w:sz w:val="21"/>
          <w:szCs w:val="21"/>
          <w:lang w:eastAsia="pl-PL"/>
        </w:rPr>
        <w:t xml:space="preserve"> oczekiwaniu na</w:t>
      </w:r>
      <w:r w:rsidRPr="00E76F7C">
        <w:rPr>
          <w:rFonts w:ascii="Poppins" w:hAnsi="Poppins" w:cs="Poppins"/>
          <w:b/>
          <w:bCs/>
          <w:sz w:val="21"/>
          <w:szCs w:val="21"/>
          <w:lang w:eastAsia="pl-PL"/>
        </w:rPr>
        <w:t xml:space="preserve"> </w:t>
      </w:r>
      <w:r w:rsidR="00BE0E4C" w:rsidRPr="00E76F7C">
        <w:rPr>
          <w:rFonts w:ascii="Poppins" w:hAnsi="Poppins" w:cs="Poppins"/>
          <w:b/>
          <w:bCs/>
          <w:sz w:val="21"/>
          <w:szCs w:val="21"/>
          <w:lang w:eastAsia="pl-PL"/>
        </w:rPr>
        <w:t>redukcję stóp procentowych</w:t>
      </w:r>
      <w:r w:rsidR="00042FD9" w:rsidRPr="00E76F7C">
        <w:rPr>
          <w:rFonts w:ascii="Poppins" w:hAnsi="Poppins" w:cs="Poppins"/>
          <w:b/>
          <w:bCs/>
          <w:sz w:val="21"/>
          <w:szCs w:val="21"/>
          <w:lang w:eastAsia="pl-PL"/>
        </w:rPr>
        <w:t xml:space="preserve"> </w:t>
      </w:r>
      <w:r w:rsidR="00F66EE5" w:rsidRPr="00E76F7C">
        <w:rPr>
          <w:rFonts w:ascii="Poppins" w:hAnsi="Poppins" w:cs="Poppins"/>
          <w:b/>
          <w:bCs/>
          <w:sz w:val="21"/>
          <w:szCs w:val="21"/>
          <w:lang w:eastAsia="pl-PL"/>
        </w:rPr>
        <w:t xml:space="preserve"> </w:t>
      </w:r>
    </w:p>
    <w:p w14:paraId="6D3C654F" w14:textId="5E80446A" w:rsidR="00BA5F40" w:rsidRPr="00E76F7C" w:rsidRDefault="00042FD9" w:rsidP="00AA312B">
      <w:pPr>
        <w:spacing w:before="120" w:after="120" w:line="240" w:lineRule="auto"/>
        <w:jc w:val="both"/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</w:pPr>
      <w:r w:rsidRPr="00E76F7C"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  <w:t>Uwagę zwracają</w:t>
      </w:r>
      <w:r w:rsidR="008C4684" w:rsidRPr="00E76F7C"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  <w:t xml:space="preserve"> przede wszystkim </w:t>
      </w:r>
      <w:r w:rsidR="00BE0E4C" w:rsidRPr="00E76F7C"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  <w:t>relatywnie dobre</w:t>
      </w:r>
      <w:r w:rsidRPr="00E76F7C"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  <w:t xml:space="preserve"> </w:t>
      </w:r>
      <w:r w:rsidR="008C4684" w:rsidRPr="00E76F7C"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  <w:t>rezultat</w:t>
      </w:r>
      <w:r w:rsidRPr="00E76F7C"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  <w:t>y</w:t>
      </w:r>
      <w:r w:rsidR="008C4684" w:rsidRPr="00E76F7C"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  <w:t xml:space="preserve"> </w:t>
      </w:r>
      <w:r w:rsidR="00BA5F40" w:rsidRPr="00E76F7C"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  <w:t xml:space="preserve">kilku rynkowych potentatów: </w:t>
      </w:r>
      <w:proofErr w:type="spellStart"/>
      <w:r w:rsidR="00BA5F40" w:rsidRPr="00E76F7C"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  <w:t>Develii</w:t>
      </w:r>
      <w:proofErr w:type="spellEnd"/>
      <w:r w:rsidR="00BA5F40" w:rsidRPr="00E76F7C"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  <w:t>,</w:t>
      </w:r>
      <w:r w:rsidR="003C7BFC" w:rsidRPr="00E76F7C"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  <w:t xml:space="preserve"> </w:t>
      </w:r>
      <w:r w:rsidR="00BA5F40" w:rsidRPr="00E76F7C"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  <w:t xml:space="preserve">Dom Development, </w:t>
      </w:r>
      <w:r w:rsidR="00CC305D" w:rsidRPr="00E76F7C">
        <w:rPr>
          <w:rFonts w:ascii="Poppins" w:eastAsia="Times New Roman" w:hAnsi="Poppins" w:cs="Poppins"/>
          <w:color w:val="000000"/>
          <w:sz w:val="21"/>
          <w:szCs w:val="21"/>
          <w:lang w:eastAsia="pl-PL"/>
        </w:rPr>
        <w:t xml:space="preserve">Echo - </w:t>
      </w:r>
      <w:proofErr w:type="spellStart"/>
      <w:r w:rsidR="00CC305D" w:rsidRPr="00E76F7C">
        <w:rPr>
          <w:rFonts w:ascii="Poppins" w:eastAsia="Times New Roman" w:hAnsi="Poppins" w:cs="Poppins"/>
          <w:color w:val="000000"/>
          <w:sz w:val="21"/>
          <w:szCs w:val="21"/>
          <w:lang w:eastAsia="pl-PL"/>
        </w:rPr>
        <w:t>Archicom</w:t>
      </w:r>
      <w:proofErr w:type="spellEnd"/>
      <w:r w:rsidR="00BA5F40" w:rsidRPr="00E76F7C"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  <w:t xml:space="preserve"> czy </w:t>
      </w:r>
      <w:proofErr w:type="spellStart"/>
      <w:r w:rsidR="00BA5F40" w:rsidRPr="00E76F7C"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  <w:t>Murapolu</w:t>
      </w:r>
      <w:proofErr w:type="spellEnd"/>
      <w:r w:rsidR="00CC305D" w:rsidRPr="00E76F7C"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  <w:t xml:space="preserve">, a także dwóch mniejszych spółek </w:t>
      </w:r>
      <w:proofErr w:type="spellStart"/>
      <w:r w:rsidR="00CC305D" w:rsidRPr="00E76F7C"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  <w:t>Wikany</w:t>
      </w:r>
      <w:proofErr w:type="spellEnd"/>
      <w:r w:rsidR="00CC305D" w:rsidRPr="00E76F7C"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  <w:t xml:space="preserve"> i </w:t>
      </w:r>
      <w:proofErr w:type="spellStart"/>
      <w:r w:rsidR="00CC305D" w:rsidRPr="00E76F7C"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  <w:t>Dekpolu</w:t>
      </w:r>
      <w:proofErr w:type="spellEnd"/>
      <w:r w:rsidR="00CC305D" w:rsidRPr="00E76F7C"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  <w:t xml:space="preserve">. To dzięki nim spadek sprzedaży w pierwszym kwartale br. wyniósł „tylko” 16 proc. Pozostała dziewiątka deweloperów zakontraktowała średnio mniej w relacji rok do roku o blisko 40 proc. i to tego typu regres należy uwzględniać przy ocenie stanu bieżącej koniunktury na pierwotnym rynku mieszkaniowym. </w:t>
      </w:r>
    </w:p>
    <w:p w14:paraId="04BC2CA5" w14:textId="3A05C15C" w:rsidR="00CC305D" w:rsidRPr="00E76F7C" w:rsidRDefault="00AA312B" w:rsidP="00AA312B">
      <w:pPr>
        <w:spacing w:before="120" w:after="120" w:line="240" w:lineRule="auto"/>
        <w:jc w:val="both"/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</w:pPr>
      <w:r w:rsidRPr="00E76F7C"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  <w:t xml:space="preserve">Jak wskazują eksperci portalu </w:t>
      </w:r>
      <w:hyperlink r:id="rId8" w:history="1">
        <w:r w:rsidRPr="00E76F7C">
          <w:rPr>
            <w:rStyle w:val="Hipercze"/>
            <w:rFonts w:ascii="Poppins" w:hAnsi="Poppins" w:cs="Poppins"/>
            <w:sz w:val="21"/>
            <w:szCs w:val="21"/>
            <w:shd w:val="clear" w:color="auto" w:fill="F9F9F9"/>
          </w:rPr>
          <w:t>RynekPierwotny.pl</w:t>
        </w:r>
      </w:hyperlink>
      <w:r w:rsidRPr="00E76F7C"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  <w:t xml:space="preserve"> w</w:t>
      </w:r>
      <w:r w:rsidR="00CC305D" w:rsidRPr="00E76F7C"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  <w:t xml:space="preserve"> tej sytuacji </w:t>
      </w:r>
      <w:r w:rsidR="00080C44" w:rsidRPr="00E76F7C"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  <w:t xml:space="preserve">uczestnikom rynku mieszkaniowego nie pozostaje nic innego, jak oczekiwanie na pierwszy istotny statystycznie ruch NBP, który najprawdopodobniej w perspektywie kilku tygodni dokona pierwszej od </w:t>
      </w:r>
      <w:r w:rsidR="00484F1E" w:rsidRPr="00E76F7C"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  <w:t>półtora roku</w:t>
      </w:r>
      <w:r w:rsidR="00080C44" w:rsidRPr="00E76F7C"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  <w:t xml:space="preserve"> redukcji stóp procentowych. Czy stanie się to pretekstem do wyraźnego ożywienia koniunktury sprzedażowej mieszkań z pierwszej ręki? Co do tego bodaj najmniej wątpliwości mają inwestorzy giełdowi, którzy ponownie przystąpili do kumulowania akcji spółek nieruchomościowych z walorami deweloperów mieszkaniowych na czele. Z jakim skutkiem?</w:t>
      </w:r>
    </w:p>
    <w:p w14:paraId="6C3311A1" w14:textId="77777777" w:rsidR="00B81267" w:rsidRPr="00E76F7C" w:rsidRDefault="00B81267" w:rsidP="00AA312B">
      <w:pPr>
        <w:spacing w:before="120" w:after="120" w:line="240" w:lineRule="auto"/>
        <w:jc w:val="both"/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</w:pPr>
    </w:p>
    <w:p w14:paraId="4FAD80C5" w14:textId="4E31ECE4" w:rsidR="00B81267" w:rsidRPr="00E76F7C" w:rsidRDefault="00B81267" w:rsidP="00B81267">
      <w:pPr>
        <w:spacing w:before="120" w:after="120" w:line="240" w:lineRule="auto"/>
        <w:jc w:val="center"/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</w:pPr>
      <w:r w:rsidRPr="00E76F7C">
        <w:rPr>
          <w:rFonts w:ascii="Poppins" w:hAnsi="Poppins" w:cs="Poppins"/>
          <w:noProof/>
          <w:sz w:val="21"/>
          <w:szCs w:val="21"/>
          <w:lang w:eastAsia="pl-PL"/>
        </w:rPr>
        <w:lastRenderedPageBreak/>
        <w:drawing>
          <wp:inline distT="0" distB="0" distL="0" distR="0" wp14:anchorId="6C59D32C" wp14:editId="74821C9A">
            <wp:extent cx="6319178" cy="7153275"/>
            <wp:effectExtent l="0" t="0" r="5715" b="0"/>
            <wp:docPr id="590023863" name="Obraz 1" descr="Obraz zawierający tekst, zrzut ekranu, numer, oprogramowanie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0023863" name="Obraz 1" descr="Obraz zawierający tekst, zrzut ekranu, numer, oprogramowanie&#10;&#10;Zawartość wygenerowana przez sztuczną inteligencję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1738" cy="71788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E4DF4E" w14:textId="2EFDE84B" w:rsidR="00DA72F4" w:rsidRPr="00E76F7C" w:rsidRDefault="00080C44" w:rsidP="00AA312B">
      <w:pPr>
        <w:spacing w:before="120" w:after="120" w:line="240" w:lineRule="auto"/>
        <w:jc w:val="both"/>
        <w:rPr>
          <w:rStyle w:val="Pogrubienie"/>
          <w:rFonts w:ascii="Poppins" w:hAnsi="Poppins" w:cs="Poppins"/>
          <w:color w:val="23232D"/>
          <w:sz w:val="21"/>
          <w:szCs w:val="21"/>
          <w:shd w:val="clear" w:color="auto" w:fill="F9F9F9"/>
        </w:rPr>
      </w:pPr>
      <w:r w:rsidRPr="00E76F7C">
        <w:rPr>
          <w:rStyle w:val="Pogrubienie"/>
          <w:rFonts w:ascii="Poppins" w:hAnsi="Poppins" w:cs="Poppins"/>
          <w:color w:val="23232D"/>
          <w:sz w:val="21"/>
          <w:szCs w:val="21"/>
          <w:shd w:val="clear" w:color="auto" w:fill="F9F9F9"/>
        </w:rPr>
        <w:t xml:space="preserve">Zyski i sprzedaż deweloperów w dół, </w:t>
      </w:r>
      <w:r w:rsidR="004432F8" w:rsidRPr="00E76F7C">
        <w:rPr>
          <w:rStyle w:val="Pogrubienie"/>
          <w:rFonts w:ascii="Poppins" w:hAnsi="Poppins" w:cs="Poppins"/>
          <w:color w:val="23232D"/>
          <w:sz w:val="21"/>
          <w:szCs w:val="21"/>
          <w:shd w:val="clear" w:color="auto" w:fill="F9F9F9"/>
        </w:rPr>
        <w:t xml:space="preserve">a </w:t>
      </w:r>
      <w:r w:rsidRPr="00E76F7C">
        <w:rPr>
          <w:rStyle w:val="Pogrubienie"/>
          <w:rFonts w:ascii="Poppins" w:hAnsi="Poppins" w:cs="Poppins"/>
          <w:color w:val="23232D"/>
          <w:sz w:val="21"/>
          <w:szCs w:val="21"/>
          <w:shd w:val="clear" w:color="auto" w:fill="F9F9F9"/>
        </w:rPr>
        <w:t>WIG-Nieruchomości na nowych szczytach hossy</w:t>
      </w:r>
    </w:p>
    <w:p w14:paraId="223BB68F" w14:textId="487ACB68" w:rsidR="0079688E" w:rsidRPr="00E76F7C" w:rsidRDefault="0079688E" w:rsidP="00AA312B">
      <w:pPr>
        <w:spacing w:before="120" w:after="120" w:line="240" w:lineRule="auto"/>
        <w:jc w:val="both"/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</w:pPr>
      <w:r w:rsidRPr="00E76F7C"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  <w:t>Gdyby uznać za pewnik tezę wg. której na giełdzie kupuje się przyszłość, to w przypadku deweloperów giełdowych ta rysuj</w:t>
      </w:r>
      <w:r w:rsidR="00AA312B" w:rsidRPr="00E76F7C"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  <w:t>e</w:t>
      </w:r>
      <w:r w:rsidRPr="00E76F7C"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  <w:t xml:space="preserve"> się wyłącznie w świetlanych barwach. Po kilkumiesięcznej stabilizacji, połączonej zapewne z kolejnym etapem akumulacji akcji, indeks WIG-Nieruchomości ruszył z impetem w górę, na  rekordowe poziomy już blisko 13-letniej hossy. </w:t>
      </w:r>
      <w:r w:rsidR="00DD2B24" w:rsidRPr="00E76F7C"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  <w:t>Tym samym okrągły poziom 5 tys. punktów znalazł się w zasięgu być może kilku kolejnych sesji.</w:t>
      </w:r>
    </w:p>
    <w:p w14:paraId="679837B0" w14:textId="77777777" w:rsidR="0079688E" w:rsidRPr="00E76F7C" w:rsidRDefault="0079688E" w:rsidP="00AA312B">
      <w:pPr>
        <w:spacing w:before="120" w:after="120" w:line="240" w:lineRule="auto"/>
        <w:jc w:val="both"/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</w:pPr>
    </w:p>
    <w:p w14:paraId="726B3834" w14:textId="26820EA3" w:rsidR="004432F8" w:rsidRPr="00E76F7C" w:rsidRDefault="00B81267" w:rsidP="00AA312B">
      <w:pPr>
        <w:spacing w:before="120" w:after="120" w:line="240" w:lineRule="auto"/>
        <w:jc w:val="both"/>
        <w:rPr>
          <w:rStyle w:val="Pogrubienie"/>
          <w:rFonts w:ascii="Poppins" w:hAnsi="Poppins" w:cs="Poppins"/>
          <w:color w:val="23232D"/>
          <w:sz w:val="21"/>
          <w:szCs w:val="21"/>
          <w:shd w:val="clear" w:color="auto" w:fill="F9F9F9"/>
        </w:rPr>
      </w:pPr>
      <w:r w:rsidRPr="00E76F7C">
        <w:rPr>
          <w:rStyle w:val="Pogrubienie"/>
          <w:rFonts w:ascii="Poppins" w:hAnsi="Poppins" w:cs="Poppins"/>
          <w:noProof/>
          <w:color w:val="23232D"/>
          <w:sz w:val="21"/>
          <w:szCs w:val="21"/>
          <w:shd w:val="clear" w:color="auto" w:fill="F9F9F9"/>
        </w:rPr>
        <w:lastRenderedPageBreak/>
        <w:drawing>
          <wp:inline distT="0" distB="0" distL="0" distR="0" wp14:anchorId="55031841" wp14:editId="5F82584B">
            <wp:extent cx="6648450" cy="4429125"/>
            <wp:effectExtent l="0" t="0" r="0" b="9525"/>
            <wp:docPr id="1985951590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0" cy="442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ACC726" w14:textId="14233979" w:rsidR="00DD2B24" w:rsidRPr="00E76F7C" w:rsidRDefault="00DD2B24" w:rsidP="00AA312B">
      <w:pPr>
        <w:spacing w:before="120" w:after="120" w:line="240" w:lineRule="auto"/>
        <w:jc w:val="both"/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</w:pPr>
      <w:r w:rsidRPr="00E76F7C"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  <w:t xml:space="preserve">Co ciekawe, dzieje się tak w okolicznościach wyraźnego spadku kontraktacji większości giełdowych </w:t>
      </w:r>
      <w:r w:rsidR="00DA709E" w:rsidRPr="00E76F7C"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  <w:t xml:space="preserve">potentatów </w:t>
      </w:r>
      <w:r w:rsidRPr="00E76F7C"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  <w:t>deweloperki mieszkaniowej. W roku 2024 dwie trzecie z nich zanotował</w:t>
      </w:r>
      <w:r w:rsidR="00625688" w:rsidRPr="00E76F7C"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  <w:t>o</w:t>
      </w:r>
      <w:r w:rsidRPr="00E76F7C"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  <w:t xml:space="preserve"> średni spadek sprzedaży przekraczający 40 proc. w relacji rok do roku, a pierwszy kwartał br. </w:t>
      </w:r>
      <w:r w:rsidR="00625688" w:rsidRPr="00E76F7C"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  <w:t xml:space="preserve">tylko potwierdził obowiązującą tendencję, </w:t>
      </w:r>
      <w:r w:rsidRPr="00E76F7C"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  <w:t xml:space="preserve">nie </w:t>
      </w:r>
      <w:r w:rsidR="00625688" w:rsidRPr="00E76F7C"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  <w:t>sygnalizując</w:t>
      </w:r>
      <w:r w:rsidRPr="00E76F7C"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  <w:t xml:space="preserve"> niestety bliskiego przesilenia spowolnienia koniunktury. </w:t>
      </w:r>
    </w:p>
    <w:p w14:paraId="4D080FBF" w14:textId="4030A1AC" w:rsidR="004432F8" w:rsidRPr="00E76F7C" w:rsidRDefault="00A43691" w:rsidP="00AA312B">
      <w:pPr>
        <w:spacing w:before="120" w:after="120" w:line="240" w:lineRule="auto"/>
        <w:jc w:val="both"/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</w:pPr>
      <w:r w:rsidRPr="00E76F7C"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  <w:t>Jak wskazują eksperci portalu RynekPierwotny.pl w</w:t>
      </w:r>
      <w:r w:rsidR="00DD2B24" w:rsidRPr="00E76F7C"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  <w:t xml:space="preserve"> tej sytuacji dość trudno jest oczekiwać </w:t>
      </w:r>
      <w:r w:rsidR="00625688" w:rsidRPr="00E76F7C"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  <w:t xml:space="preserve">w bezpośredniej perspektywie </w:t>
      </w:r>
      <w:r w:rsidR="00DD2B24" w:rsidRPr="00E76F7C"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  <w:t xml:space="preserve">wzrostu profitów notowanych na GPW deweloperskich spółek </w:t>
      </w:r>
      <w:r w:rsidR="00625688" w:rsidRPr="00E76F7C"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  <w:t>o profilu mieszkaniowym, których notowania napędzając w głównej mierze wzrost branżowego indeksu, uzasadniałyby kontynuację</w:t>
      </w:r>
      <w:r w:rsidR="001047C7" w:rsidRPr="00E76F7C"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  <w:t xml:space="preserve"> jego</w:t>
      </w:r>
      <w:r w:rsidR="00625688" w:rsidRPr="00E76F7C"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  <w:t xml:space="preserve"> długoterminowego trendu wzrostowego. Już w roku ubiegłym monitorowana od 20</w:t>
      </w:r>
      <w:r w:rsidR="00A02A5D" w:rsidRPr="00E76F7C"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  <w:t>1</w:t>
      </w:r>
      <w:r w:rsidR="00625688" w:rsidRPr="00E76F7C"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  <w:t>6 roku czołowa dziesiątka</w:t>
      </w:r>
      <w:r w:rsidR="00A02A5D" w:rsidRPr="00E76F7C"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  <w:t xml:space="preserve"> przedmiotowych</w:t>
      </w:r>
      <w:r w:rsidR="00625688" w:rsidRPr="00E76F7C"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  <w:t xml:space="preserve"> spółek zarobiła na czysto o 3,5 proc. mniej w relacji rok do roku. Nie jest to co prawda </w:t>
      </w:r>
      <w:r w:rsidR="00A02A5D" w:rsidRPr="00E76F7C"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  <w:t xml:space="preserve">różnica istotna statystycznie, jednak </w:t>
      </w:r>
      <w:r w:rsidR="001047C7" w:rsidRPr="00E76F7C"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  <w:t>być może sygnalizująca okresowe wyczerpanie wzrostowego potencjału rentowności rodzimej branży deweloperskiej.</w:t>
      </w:r>
    </w:p>
    <w:p w14:paraId="6F0B648E" w14:textId="27D66777" w:rsidR="001047C7" w:rsidRPr="00E76F7C" w:rsidRDefault="001047C7" w:rsidP="00AA312B">
      <w:pPr>
        <w:spacing w:before="120" w:after="120" w:line="240" w:lineRule="auto"/>
        <w:jc w:val="both"/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</w:pPr>
      <w:r w:rsidRPr="00E76F7C"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  <w:t xml:space="preserve">Na co w takim razie liczą inwestorzy giełdowi składający na GPW zlecenia kupna akcji deweloperów? </w:t>
      </w:r>
      <w:r w:rsidR="00E0601C" w:rsidRPr="00E76F7C"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  <w:t>Prawdopodobnie p</w:t>
      </w:r>
      <w:r w:rsidRPr="00E76F7C"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  <w:t xml:space="preserve">rzede wszystkim na pojawiającą się już odwilż na rynku hipotek, </w:t>
      </w:r>
      <w:r w:rsidR="00E0601C" w:rsidRPr="00E76F7C"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  <w:t xml:space="preserve">w pełni potwierdzoną danymi BIK za marzec br., </w:t>
      </w:r>
      <w:r w:rsidRPr="00E76F7C"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  <w:t xml:space="preserve">która powinna przybrać na sile wraz z </w:t>
      </w:r>
      <w:r w:rsidR="00E0601C" w:rsidRPr="00E76F7C"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  <w:t xml:space="preserve">oczekiwaną </w:t>
      </w:r>
      <w:r w:rsidRPr="00E76F7C"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  <w:t>obniżką stóp procentowych</w:t>
      </w:r>
      <w:r w:rsidR="009F79C6" w:rsidRPr="00E76F7C"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  <w:t>, uruchamiając potencjał od miesięcy odkładanego „na lepsze czasy” popytu</w:t>
      </w:r>
      <w:r w:rsidR="00DA709E" w:rsidRPr="00E76F7C"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  <w:t xml:space="preserve"> mieszkaniowego</w:t>
      </w:r>
      <w:r w:rsidR="009F79C6" w:rsidRPr="00E76F7C"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  <w:t>. Z kolei program dopłat do kredytów mieszkaniowych „</w:t>
      </w:r>
      <w:r w:rsidR="00AA312B" w:rsidRPr="00E76F7C"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  <w:t>P</w:t>
      </w:r>
      <w:r w:rsidR="009F79C6" w:rsidRPr="00E76F7C"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  <w:t>ierwsze klucze”, choć ma wykluczać z grona beneficjentów nabywców mieszkań deweloperskich, to w jakimś stopniu</w:t>
      </w:r>
      <w:r w:rsidR="00AA312B" w:rsidRPr="00E76F7C"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  <w:t xml:space="preserve"> </w:t>
      </w:r>
      <w:r w:rsidR="009F79C6" w:rsidRPr="00E76F7C"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  <w:t>w sposób pośredni może przełożyć się na poprawę koniunktury sprzedażowej także lokali z pierwszej ręki.</w:t>
      </w:r>
      <w:r w:rsidRPr="00E76F7C"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  <w:t xml:space="preserve"> </w:t>
      </w:r>
      <w:r w:rsidR="009F79C6" w:rsidRPr="00E76F7C"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  <w:t xml:space="preserve">Wreszcie zdecydowanie pozytywny sentyment goszczący na rodzimej GPW od początku roku, pomimo niedawnych perturbacji </w:t>
      </w:r>
      <w:r w:rsidR="00484F1E" w:rsidRPr="00E76F7C"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  <w:t>s</w:t>
      </w:r>
      <w:r w:rsidR="009F79C6" w:rsidRPr="00E76F7C"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  <w:t xml:space="preserve">powodowanych </w:t>
      </w:r>
      <w:r w:rsidR="00E0601C" w:rsidRPr="00E76F7C"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  <w:t xml:space="preserve">globalnym zamieszaniem po decyzjach celnych </w:t>
      </w:r>
      <w:r w:rsidR="00E0601C" w:rsidRPr="00E76F7C"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  <w:lastRenderedPageBreak/>
        <w:t xml:space="preserve">administracji amerykańskiej, może sygnalizować perspektywę znacznego przyśpieszenia koniunktury gospodarczej w Polsce, co nie pozostanie bez wpływu na krajowy rynek mieszkaniowy, z jego pierwotnym segmentem na czele. </w:t>
      </w:r>
      <w:r w:rsidR="009F79C6" w:rsidRPr="00E76F7C">
        <w:rPr>
          <w:rStyle w:val="Pogrubienie"/>
          <w:rFonts w:ascii="Poppins" w:hAnsi="Poppins" w:cs="Poppins"/>
          <w:b w:val="0"/>
          <w:bCs w:val="0"/>
          <w:color w:val="23232D"/>
          <w:sz w:val="21"/>
          <w:szCs w:val="21"/>
          <w:shd w:val="clear" w:color="auto" w:fill="F9F9F9"/>
        </w:rPr>
        <w:t xml:space="preserve"> </w:t>
      </w:r>
    </w:p>
    <w:sectPr w:rsidR="001047C7" w:rsidRPr="00E76F7C" w:rsidSect="00AB157B">
      <w:headerReference w:type="default" r:id="rId11"/>
      <w:pgSz w:w="11906" w:h="16838"/>
      <w:pgMar w:top="720" w:right="720" w:bottom="720" w:left="720" w:header="113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83DC1F" w14:textId="77777777" w:rsidR="00AC44A7" w:rsidRDefault="00AC44A7" w:rsidP="00E533BD">
      <w:pPr>
        <w:spacing w:after="0" w:line="240" w:lineRule="auto"/>
      </w:pPr>
      <w:r>
        <w:separator/>
      </w:r>
    </w:p>
  </w:endnote>
  <w:endnote w:type="continuationSeparator" w:id="0">
    <w:p w14:paraId="65DB1167" w14:textId="77777777" w:rsidR="00AC44A7" w:rsidRDefault="00AC44A7" w:rsidP="00E5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oppins">
    <w:altName w:val="Calibri"/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E6219D" w14:textId="77777777" w:rsidR="00AC44A7" w:rsidRDefault="00AC44A7" w:rsidP="00E533BD">
      <w:pPr>
        <w:spacing w:after="0" w:line="240" w:lineRule="auto"/>
      </w:pPr>
      <w:r>
        <w:separator/>
      </w:r>
    </w:p>
  </w:footnote>
  <w:footnote w:type="continuationSeparator" w:id="0">
    <w:p w14:paraId="538996E9" w14:textId="77777777" w:rsidR="00AC44A7" w:rsidRDefault="00AC44A7" w:rsidP="00E5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F483D" w14:textId="31C0457E" w:rsidR="00E533BD" w:rsidRDefault="00DA7D8F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049997B" wp14:editId="064C2B69">
          <wp:simplePos x="0" y="0"/>
          <wp:positionH relativeFrom="page">
            <wp:posOffset>28575</wp:posOffset>
          </wp:positionH>
          <wp:positionV relativeFrom="paragraph">
            <wp:posOffset>-624205</wp:posOffset>
          </wp:positionV>
          <wp:extent cx="7496810" cy="1033145"/>
          <wp:effectExtent l="0" t="0" r="0" b="0"/>
          <wp:wrapThrough wrapText="bothSides">
            <wp:wrapPolygon edited="0">
              <wp:start x="1427" y="4779"/>
              <wp:lineTo x="1153" y="6771"/>
              <wp:lineTo x="878" y="9559"/>
              <wp:lineTo x="933" y="15533"/>
              <wp:lineTo x="9331" y="18321"/>
              <wp:lineTo x="19211" y="19117"/>
              <wp:lineTo x="20693" y="19117"/>
              <wp:lineTo x="20693" y="18321"/>
              <wp:lineTo x="18717" y="11948"/>
              <wp:lineTo x="18826" y="8364"/>
              <wp:lineTo x="16302" y="7567"/>
              <wp:lineTo x="1921" y="4779"/>
              <wp:lineTo x="1427" y="4779"/>
            </wp:wrapPolygon>
          </wp:wrapThrough>
          <wp:docPr id="3" name="Graf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a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rcRect l="7" r="7"/>
                  <a:stretch>
                    <a:fillRect/>
                  </a:stretch>
                </pic:blipFill>
                <pic:spPr>
                  <a:xfrm>
                    <a:off x="0" y="0"/>
                    <a:ext cx="7496810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8306C">
      <w:ptab w:relativeTo="margin" w:alignment="center" w:leader="none"/>
    </w:r>
    <w:r w:rsidR="00FB7A20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4E4DED"/>
    <w:multiLevelType w:val="hybridMultilevel"/>
    <w:tmpl w:val="5F5CEA66"/>
    <w:lvl w:ilvl="0" w:tplc="BC4889C8">
      <w:numFmt w:val="bullet"/>
      <w:lvlText w:val=""/>
      <w:lvlJc w:val="left"/>
      <w:pPr>
        <w:ind w:left="1665" w:hanging="360"/>
      </w:pPr>
      <w:rPr>
        <w:rFonts w:ascii="Symbol" w:eastAsia="Lucida Sans Unicode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 w16cid:durableId="9587276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3BD"/>
    <w:rsid w:val="000061D9"/>
    <w:rsid w:val="00011E14"/>
    <w:rsid w:val="00015274"/>
    <w:rsid w:val="00042FD9"/>
    <w:rsid w:val="00057F54"/>
    <w:rsid w:val="00080C44"/>
    <w:rsid w:val="000A0350"/>
    <w:rsid w:val="000F0B92"/>
    <w:rsid w:val="001003CF"/>
    <w:rsid w:val="001047C7"/>
    <w:rsid w:val="00106C6C"/>
    <w:rsid w:val="001229CF"/>
    <w:rsid w:val="00160B41"/>
    <w:rsid w:val="00166AD2"/>
    <w:rsid w:val="00173379"/>
    <w:rsid w:val="00176DE5"/>
    <w:rsid w:val="00182A25"/>
    <w:rsid w:val="0018306C"/>
    <w:rsid w:val="00193531"/>
    <w:rsid w:val="00194693"/>
    <w:rsid w:val="001F7DC9"/>
    <w:rsid w:val="00225BDB"/>
    <w:rsid w:val="0027120F"/>
    <w:rsid w:val="00290AB4"/>
    <w:rsid w:val="00293F01"/>
    <w:rsid w:val="002C3A0A"/>
    <w:rsid w:val="002E2029"/>
    <w:rsid w:val="002E6753"/>
    <w:rsid w:val="0030376C"/>
    <w:rsid w:val="00331728"/>
    <w:rsid w:val="00367682"/>
    <w:rsid w:val="003C2F19"/>
    <w:rsid w:val="003C74F0"/>
    <w:rsid w:val="003C7BFC"/>
    <w:rsid w:val="003D28BE"/>
    <w:rsid w:val="003F4D95"/>
    <w:rsid w:val="00414F41"/>
    <w:rsid w:val="004305BB"/>
    <w:rsid w:val="00442EBD"/>
    <w:rsid w:val="004432F8"/>
    <w:rsid w:val="00451CA3"/>
    <w:rsid w:val="00465B5A"/>
    <w:rsid w:val="00484F1E"/>
    <w:rsid w:val="0048660E"/>
    <w:rsid w:val="004908B5"/>
    <w:rsid w:val="004B0D98"/>
    <w:rsid w:val="004C4395"/>
    <w:rsid w:val="00504683"/>
    <w:rsid w:val="00507867"/>
    <w:rsid w:val="005336A6"/>
    <w:rsid w:val="005428ED"/>
    <w:rsid w:val="00565B3F"/>
    <w:rsid w:val="00571D71"/>
    <w:rsid w:val="005756AC"/>
    <w:rsid w:val="00580C87"/>
    <w:rsid w:val="00595106"/>
    <w:rsid w:val="005B6EC7"/>
    <w:rsid w:val="005E154B"/>
    <w:rsid w:val="005F08B1"/>
    <w:rsid w:val="005F3515"/>
    <w:rsid w:val="00611373"/>
    <w:rsid w:val="006170B5"/>
    <w:rsid w:val="00625688"/>
    <w:rsid w:val="00655E69"/>
    <w:rsid w:val="0066231E"/>
    <w:rsid w:val="00692C93"/>
    <w:rsid w:val="00693D0A"/>
    <w:rsid w:val="006C07E3"/>
    <w:rsid w:val="006F0A66"/>
    <w:rsid w:val="006F1831"/>
    <w:rsid w:val="00782C3E"/>
    <w:rsid w:val="00793B7D"/>
    <w:rsid w:val="0079688E"/>
    <w:rsid w:val="007B4B9C"/>
    <w:rsid w:val="007E3768"/>
    <w:rsid w:val="00801EEA"/>
    <w:rsid w:val="00825AD9"/>
    <w:rsid w:val="00884A9A"/>
    <w:rsid w:val="00892A0D"/>
    <w:rsid w:val="008A7207"/>
    <w:rsid w:val="008C4684"/>
    <w:rsid w:val="008C55BD"/>
    <w:rsid w:val="008F135C"/>
    <w:rsid w:val="008F7B1C"/>
    <w:rsid w:val="0091278B"/>
    <w:rsid w:val="009232E8"/>
    <w:rsid w:val="00932965"/>
    <w:rsid w:val="00967D21"/>
    <w:rsid w:val="00993304"/>
    <w:rsid w:val="009A324B"/>
    <w:rsid w:val="009A3D85"/>
    <w:rsid w:val="009A4AA4"/>
    <w:rsid w:val="009C2310"/>
    <w:rsid w:val="009C246D"/>
    <w:rsid w:val="009F79C6"/>
    <w:rsid w:val="00A02A5D"/>
    <w:rsid w:val="00A24093"/>
    <w:rsid w:val="00A43691"/>
    <w:rsid w:val="00A45876"/>
    <w:rsid w:val="00A547BE"/>
    <w:rsid w:val="00A64C0A"/>
    <w:rsid w:val="00A73E2A"/>
    <w:rsid w:val="00A75D15"/>
    <w:rsid w:val="00A90FB0"/>
    <w:rsid w:val="00AA312B"/>
    <w:rsid w:val="00AB157B"/>
    <w:rsid w:val="00AC44A7"/>
    <w:rsid w:val="00AE683A"/>
    <w:rsid w:val="00B141B2"/>
    <w:rsid w:val="00B17444"/>
    <w:rsid w:val="00B20EDE"/>
    <w:rsid w:val="00B33F85"/>
    <w:rsid w:val="00B430F1"/>
    <w:rsid w:val="00B6641D"/>
    <w:rsid w:val="00B675F4"/>
    <w:rsid w:val="00B81267"/>
    <w:rsid w:val="00B90C5F"/>
    <w:rsid w:val="00BA48E5"/>
    <w:rsid w:val="00BA4AE2"/>
    <w:rsid w:val="00BA5F40"/>
    <w:rsid w:val="00BC2A91"/>
    <w:rsid w:val="00BE0E4C"/>
    <w:rsid w:val="00BE548A"/>
    <w:rsid w:val="00BF2F46"/>
    <w:rsid w:val="00C05921"/>
    <w:rsid w:val="00C06EFB"/>
    <w:rsid w:val="00C12248"/>
    <w:rsid w:val="00C35B7E"/>
    <w:rsid w:val="00CA33AD"/>
    <w:rsid w:val="00CB3A20"/>
    <w:rsid w:val="00CB7C00"/>
    <w:rsid w:val="00CC305D"/>
    <w:rsid w:val="00CD15B5"/>
    <w:rsid w:val="00CF036B"/>
    <w:rsid w:val="00D061AE"/>
    <w:rsid w:val="00D1044B"/>
    <w:rsid w:val="00D320B2"/>
    <w:rsid w:val="00D455CB"/>
    <w:rsid w:val="00D61549"/>
    <w:rsid w:val="00D7739F"/>
    <w:rsid w:val="00D82A76"/>
    <w:rsid w:val="00DA0E39"/>
    <w:rsid w:val="00DA709E"/>
    <w:rsid w:val="00DA72F4"/>
    <w:rsid w:val="00DA7D8F"/>
    <w:rsid w:val="00DC1870"/>
    <w:rsid w:val="00DD2B24"/>
    <w:rsid w:val="00DD42A8"/>
    <w:rsid w:val="00DD6A44"/>
    <w:rsid w:val="00E0601C"/>
    <w:rsid w:val="00E25AAC"/>
    <w:rsid w:val="00E32F03"/>
    <w:rsid w:val="00E3719E"/>
    <w:rsid w:val="00E440F2"/>
    <w:rsid w:val="00E533BD"/>
    <w:rsid w:val="00E73303"/>
    <w:rsid w:val="00E76F7C"/>
    <w:rsid w:val="00E84E26"/>
    <w:rsid w:val="00EA18AB"/>
    <w:rsid w:val="00EA269B"/>
    <w:rsid w:val="00EC5BFE"/>
    <w:rsid w:val="00ED61B2"/>
    <w:rsid w:val="00F06678"/>
    <w:rsid w:val="00F2311C"/>
    <w:rsid w:val="00F27BE9"/>
    <w:rsid w:val="00F364DB"/>
    <w:rsid w:val="00F426A5"/>
    <w:rsid w:val="00F50471"/>
    <w:rsid w:val="00F52BC1"/>
    <w:rsid w:val="00F62FF9"/>
    <w:rsid w:val="00F66EE5"/>
    <w:rsid w:val="00F81C25"/>
    <w:rsid w:val="00FA13FB"/>
    <w:rsid w:val="00FA42CC"/>
    <w:rsid w:val="00FA57AE"/>
    <w:rsid w:val="00FB1774"/>
    <w:rsid w:val="00FB7A20"/>
    <w:rsid w:val="00FD5C22"/>
    <w:rsid w:val="00FF1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EF5DA"/>
  <w15:chartTrackingRefBased/>
  <w15:docId w15:val="{F36E7F9C-64BC-455F-93AF-CCB032D68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33BD"/>
  </w:style>
  <w:style w:type="paragraph" w:styleId="Stopka">
    <w:name w:val="footer"/>
    <w:basedOn w:val="Normalny"/>
    <w:link w:val="StopkaZnak"/>
    <w:uiPriority w:val="99"/>
    <w:unhideWhenUsed/>
    <w:rsid w:val="00E5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33BD"/>
  </w:style>
  <w:style w:type="paragraph" w:styleId="NormalnyWeb">
    <w:name w:val="Normal (Web)"/>
    <w:basedOn w:val="Normalny"/>
    <w:uiPriority w:val="99"/>
    <w:semiHidden/>
    <w:unhideWhenUsed/>
    <w:rsid w:val="002712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7120F"/>
    <w:rPr>
      <w:color w:val="0000FF"/>
      <w:u w:val="single"/>
    </w:rPr>
  </w:style>
  <w:style w:type="character" w:customStyle="1" w:styleId="hgkelc">
    <w:name w:val="hgkelc"/>
    <w:basedOn w:val="Domylnaczcionkaakapitu"/>
    <w:rsid w:val="00E3719E"/>
  </w:style>
  <w:style w:type="character" w:styleId="Pogrubienie">
    <w:name w:val="Strong"/>
    <w:basedOn w:val="Domylnaczcionkaakapitu"/>
    <w:uiPriority w:val="22"/>
    <w:qFormat/>
    <w:rsid w:val="004C4395"/>
    <w:rPr>
      <w:b/>
      <w:bCs/>
    </w:rPr>
  </w:style>
  <w:style w:type="paragraph" w:styleId="Bezodstpw">
    <w:name w:val="No Spacing"/>
    <w:uiPriority w:val="1"/>
    <w:qFormat/>
    <w:rsid w:val="00F27BE9"/>
    <w:pPr>
      <w:spacing w:after="0" w:line="240" w:lineRule="auto"/>
    </w:pPr>
  </w:style>
  <w:style w:type="paragraph" w:customStyle="1" w:styleId="Textbody">
    <w:name w:val="Text body"/>
    <w:basedOn w:val="Normalny"/>
    <w:rsid w:val="00571D71"/>
    <w:pPr>
      <w:widowControl w:val="0"/>
      <w:suppressAutoHyphens/>
      <w:autoSpaceDN w:val="0"/>
      <w:spacing w:after="12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CC305D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A436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93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88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9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ynekpierwotny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5A948-74EE-46C4-AA71-52FAB671F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4</Pages>
  <Words>765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Kazimierczak</dc:creator>
  <cp:keywords/>
  <dc:description/>
  <cp:lastModifiedBy>Mikołaj Ostrowski</cp:lastModifiedBy>
  <cp:revision>81</cp:revision>
  <cp:lastPrinted>2022-08-09T11:51:00Z</cp:lastPrinted>
  <dcterms:created xsi:type="dcterms:W3CDTF">2025-04-24T11:14:00Z</dcterms:created>
  <dcterms:modified xsi:type="dcterms:W3CDTF">2025-04-25T10:56:00Z</dcterms:modified>
</cp:coreProperties>
</file>