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C1C91" w14:textId="3B4E6BDC" w:rsidR="00AE411D" w:rsidRPr="004B7F62" w:rsidRDefault="00AE411D" w:rsidP="004B7F62">
      <w:pPr>
        <w:jc w:val="right"/>
        <w:rPr>
          <w:rFonts w:ascii="Poppins" w:hAnsi="Poppins" w:cs="Poppins"/>
          <w:sz w:val="22"/>
        </w:rPr>
      </w:pPr>
      <w:r w:rsidRPr="004B7F62">
        <w:rPr>
          <w:rFonts w:ascii="Poppins" w:hAnsi="Poppins" w:cs="Poppins"/>
          <w:sz w:val="22"/>
        </w:rPr>
        <w:t>Warszawa, 2</w:t>
      </w:r>
      <w:r w:rsidR="004B7F62">
        <w:rPr>
          <w:rFonts w:ascii="Poppins" w:hAnsi="Poppins" w:cs="Poppins"/>
          <w:sz w:val="22"/>
          <w:lang w:val="pl-PL"/>
        </w:rPr>
        <w:t>1</w:t>
      </w:r>
      <w:r w:rsidRPr="004B7F62">
        <w:rPr>
          <w:rFonts w:ascii="Poppins" w:hAnsi="Poppins" w:cs="Poppins"/>
          <w:sz w:val="22"/>
        </w:rPr>
        <w:t>.0</w:t>
      </w:r>
      <w:r w:rsidR="004B7F62" w:rsidRPr="004B7F62">
        <w:rPr>
          <w:rFonts w:ascii="Poppins" w:hAnsi="Poppins" w:cs="Poppins"/>
          <w:sz w:val="22"/>
          <w:lang w:val="pl-PL"/>
        </w:rPr>
        <w:t>5</w:t>
      </w:r>
      <w:r w:rsidRPr="004B7F62">
        <w:rPr>
          <w:rFonts w:ascii="Poppins" w:hAnsi="Poppins" w:cs="Poppins"/>
          <w:sz w:val="22"/>
        </w:rPr>
        <w:t>.2025 r.</w:t>
      </w:r>
    </w:p>
    <w:p w14:paraId="12C0A398" w14:textId="77777777" w:rsidR="00AE411D" w:rsidRPr="004B7F62" w:rsidRDefault="00AE411D" w:rsidP="00AE411D">
      <w:pPr>
        <w:rPr>
          <w:rFonts w:ascii="Poppins" w:hAnsi="Poppins" w:cs="Poppins"/>
          <w:sz w:val="22"/>
          <w:lang w:val="pl-PL"/>
        </w:rPr>
      </w:pPr>
    </w:p>
    <w:p w14:paraId="0350CB8C" w14:textId="77777777" w:rsidR="00AE411D" w:rsidRPr="004B7F62" w:rsidRDefault="00AE411D" w:rsidP="00AE411D">
      <w:pPr>
        <w:rPr>
          <w:rFonts w:ascii="Poppins" w:hAnsi="Poppins" w:cs="Poppins"/>
          <w:sz w:val="22"/>
          <w:lang w:val="pl-PL"/>
        </w:rPr>
      </w:pPr>
      <w:r w:rsidRPr="004B7F62">
        <w:rPr>
          <w:rFonts w:ascii="Poppins" w:hAnsi="Poppins" w:cs="Poppins"/>
          <w:sz w:val="22"/>
        </w:rPr>
        <w:t xml:space="preserve">Autor: Andrzej Prajsnar, ekspert portalu </w:t>
      </w:r>
      <w:hyperlink r:id="rId8" w:history="1">
        <w:r w:rsidRPr="004B7F62">
          <w:rPr>
            <w:rStyle w:val="Hipercze"/>
            <w:rFonts w:ascii="Poppins" w:hAnsi="Poppins" w:cs="Poppins"/>
            <w:sz w:val="22"/>
            <w:lang w:val="pl-PL"/>
          </w:rPr>
          <w:t>GetHome.pl</w:t>
        </w:r>
      </w:hyperlink>
    </w:p>
    <w:p w14:paraId="4D9D7EB8" w14:textId="77777777" w:rsidR="00AE411D" w:rsidRPr="00AE411D" w:rsidRDefault="00AE411D" w:rsidP="00AE411D">
      <w:pPr>
        <w:rPr>
          <w:rFonts w:ascii="Poppins" w:hAnsi="Poppins" w:cs="Poppins"/>
          <w:sz w:val="24"/>
          <w:szCs w:val="24"/>
          <w:lang w:val="pl-PL"/>
        </w:rPr>
      </w:pPr>
    </w:p>
    <w:p w14:paraId="17FD5F75" w14:textId="77777777" w:rsidR="004B7F62" w:rsidRPr="004B7F62" w:rsidRDefault="004B7F62" w:rsidP="004B7F62">
      <w:pPr>
        <w:jc w:val="center"/>
        <w:rPr>
          <w:rFonts w:ascii="Poppins" w:hAnsi="Poppins" w:cs="Poppins"/>
          <w:b/>
          <w:bCs/>
          <w:sz w:val="32"/>
          <w:szCs w:val="32"/>
          <w:lang w:val="pl-PL"/>
        </w:rPr>
      </w:pPr>
      <w:r w:rsidRPr="004B7F62">
        <w:rPr>
          <w:rFonts w:ascii="Poppins" w:hAnsi="Poppins" w:cs="Poppins"/>
          <w:b/>
          <w:bCs/>
          <w:sz w:val="32"/>
          <w:szCs w:val="32"/>
        </w:rPr>
        <w:t>Mieszkania „pozadeweloperskie” – będzie ich więcej?</w:t>
      </w:r>
    </w:p>
    <w:p w14:paraId="4A02B935" w14:textId="77777777" w:rsidR="004B7F62" w:rsidRPr="004B7F62" w:rsidRDefault="004B7F62" w:rsidP="004B7F62">
      <w:pPr>
        <w:jc w:val="center"/>
        <w:rPr>
          <w:rFonts w:ascii="Poppins" w:hAnsi="Poppins" w:cs="Poppins"/>
          <w:b/>
          <w:bCs/>
          <w:sz w:val="28"/>
          <w:szCs w:val="28"/>
          <w:lang w:val="pl-PL"/>
        </w:rPr>
      </w:pPr>
    </w:p>
    <w:p w14:paraId="6E43D4A2" w14:textId="77777777" w:rsidR="004B7F62" w:rsidRPr="004B7F62" w:rsidRDefault="004B7F62" w:rsidP="004B7F62">
      <w:pPr>
        <w:rPr>
          <w:rFonts w:ascii="Poppins" w:hAnsi="Poppins" w:cs="Poppins"/>
          <w:b/>
          <w:bCs/>
          <w:i/>
          <w:iCs/>
          <w:sz w:val="22"/>
          <w:lang w:val="pl-PL"/>
        </w:rPr>
      </w:pPr>
      <w:r w:rsidRPr="004B7F62">
        <w:rPr>
          <w:rFonts w:ascii="Poppins" w:hAnsi="Poppins" w:cs="Poppins"/>
          <w:b/>
          <w:bCs/>
          <w:i/>
          <w:iCs/>
          <w:sz w:val="22"/>
        </w:rPr>
        <w:t xml:space="preserve">W następnych latach ma mocno wzrosnąć liczba mieszkań budowanych przez gminy i TBS-y/SIM-y. Na razie warto jednak przyjrzeć się informacjom z I kw. 2025 r. </w:t>
      </w:r>
    </w:p>
    <w:p w14:paraId="2D758A85" w14:textId="77777777" w:rsidR="004B7F62" w:rsidRPr="004B7F62" w:rsidRDefault="004B7F62" w:rsidP="004B7F62">
      <w:pPr>
        <w:rPr>
          <w:rFonts w:ascii="Poppins" w:hAnsi="Poppins" w:cs="Poppins"/>
          <w:b/>
          <w:bCs/>
          <w:i/>
          <w:iCs/>
          <w:sz w:val="22"/>
          <w:lang w:val="pl-PL"/>
        </w:rPr>
      </w:pPr>
    </w:p>
    <w:p w14:paraId="3B412F7B" w14:textId="77777777" w:rsidR="004B7F62" w:rsidRPr="004B7F62" w:rsidRDefault="004B7F62" w:rsidP="004B7F62">
      <w:pPr>
        <w:rPr>
          <w:rFonts w:ascii="Poppins" w:hAnsi="Poppins" w:cs="Poppins"/>
          <w:b/>
          <w:bCs/>
          <w:sz w:val="22"/>
          <w:lang w:val="pl-PL"/>
        </w:rPr>
      </w:pPr>
      <w:r w:rsidRPr="004B7F62">
        <w:rPr>
          <w:rFonts w:ascii="Poppins" w:hAnsi="Poppins" w:cs="Poppins"/>
          <w:b/>
          <w:bCs/>
          <w:sz w:val="22"/>
        </w:rPr>
        <w:t xml:space="preserve">W ostatnim czasie dość często mówiło się o wzroście liczby mieszkań z preferencyjnym czynszem, które mają budować przede wszystkim gminy, towarzystwa budownictwa społecznego (TBS) oraz społeczne inicjatywy mieszkaniowe (SIM). Oczywiście, musimy zdawać sobie sprawę, że zapowiadany wzrost nakładów na budownictwo społeczne z pewnym opóźnieniem przełoży się na statystyki dotyczące liczby rozpoczynanych lokali. Odpowiednio dłużej (o około 2 lata) trzeba będzie czekać na ukończenie tych mieszkań „pozadeweloperskich”. Na razie, warto przyjrzeć się statystykom GUS z I kw. 2025 r. dotyczącym właśnie takich lokali. Zrobili to eksperci portalu GetHome.pl. </w:t>
      </w:r>
    </w:p>
    <w:p w14:paraId="4263ABDE" w14:textId="77777777" w:rsidR="004B7F62" w:rsidRPr="004B7F62" w:rsidRDefault="004B7F62" w:rsidP="004B7F62">
      <w:pPr>
        <w:rPr>
          <w:rFonts w:ascii="Poppins" w:hAnsi="Poppins" w:cs="Poppins"/>
          <w:b/>
          <w:bCs/>
          <w:sz w:val="22"/>
          <w:lang w:val="pl-PL"/>
        </w:rPr>
      </w:pPr>
    </w:p>
    <w:p w14:paraId="4EC7596D" w14:textId="77777777" w:rsidR="004B7F62" w:rsidRPr="004B7F62" w:rsidRDefault="004B7F62" w:rsidP="004B7F62">
      <w:pPr>
        <w:rPr>
          <w:rFonts w:ascii="Poppins" w:hAnsi="Poppins" w:cs="Poppins"/>
          <w:b/>
          <w:bCs/>
          <w:sz w:val="22"/>
          <w:lang w:val="pl-PL"/>
        </w:rPr>
      </w:pPr>
      <w:r w:rsidRPr="004B7F62">
        <w:rPr>
          <w:rFonts w:ascii="Poppins" w:hAnsi="Poppins" w:cs="Poppins"/>
          <w:b/>
          <w:bCs/>
          <w:sz w:val="22"/>
        </w:rPr>
        <w:t>Mieszkania rozpoczęte, czyli najważniejszy wskaźnik?</w:t>
      </w:r>
    </w:p>
    <w:p w14:paraId="1C3F6852" w14:textId="77777777" w:rsidR="004B7F62" w:rsidRPr="004B7F62" w:rsidRDefault="004B7F62" w:rsidP="004B7F62">
      <w:pPr>
        <w:rPr>
          <w:rFonts w:ascii="Poppins" w:hAnsi="Poppins" w:cs="Poppins"/>
          <w:b/>
          <w:bCs/>
          <w:sz w:val="22"/>
          <w:lang w:val="pl-PL"/>
        </w:rPr>
      </w:pPr>
    </w:p>
    <w:p w14:paraId="50BE78F9" w14:textId="77777777" w:rsidR="004B7F62" w:rsidRPr="004B7F62" w:rsidRDefault="004B7F62" w:rsidP="004B7F62">
      <w:pPr>
        <w:rPr>
          <w:rFonts w:ascii="Poppins" w:hAnsi="Poppins" w:cs="Poppins"/>
          <w:sz w:val="22"/>
        </w:rPr>
      </w:pPr>
      <w:r w:rsidRPr="004B7F62">
        <w:rPr>
          <w:rFonts w:ascii="Poppins" w:hAnsi="Poppins" w:cs="Poppins"/>
          <w:sz w:val="22"/>
        </w:rPr>
        <w:t xml:space="preserve">Pozornie najważniejszym wskaźnikiem w kontekście nowych mieszkań spółdzielczych, społecznych oraz komunalnych wydaje się liczba rozpoczętych takich lokali. Informuje ona bowiem, ile mieszkań zostanie wynajętych w stosunkowo niedługim czasie - po zakończeniu procesu budowy średnio trwającego około 2 lata. </w:t>
      </w:r>
    </w:p>
    <w:p w14:paraId="3633C226" w14:textId="77777777" w:rsidR="004B7F62" w:rsidRPr="004B7F62" w:rsidRDefault="004B7F62" w:rsidP="004B7F62">
      <w:pPr>
        <w:rPr>
          <w:rFonts w:ascii="Poppins" w:hAnsi="Poppins" w:cs="Poppins"/>
          <w:sz w:val="22"/>
          <w:lang w:val="pl-PL"/>
        </w:rPr>
      </w:pPr>
      <w:r w:rsidRPr="004B7F62">
        <w:rPr>
          <w:rFonts w:ascii="Poppins" w:hAnsi="Poppins" w:cs="Poppins"/>
          <w:sz w:val="22"/>
        </w:rPr>
        <w:t xml:space="preserve">Poniższa tabela potwierdza jednak, że istotne są także statystyki o liczbie mieszkań, na budowę których uzyskano pozwolenia. Dane GUS wskazują, że w I kw. 2025 r. liczba rozpoczętych mieszkań społecznych czynszowych była mniejsza niż przed rokiem (620 vs 845 lokali). Widzimy jednak równocześnie znaczący wzrost (z 1 067 do 1 773) liczby lokali, na których budowę TBS-y oraz SIM-y uzyskały pozwolenia. Taka zmiana powinna w niedługim czasie przełożyć się na liczbę rozpoczętych budów mieszkań społecznych. </w:t>
      </w:r>
    </w:p>
    <w:p w14:paraId="48C0D3EB" w14:textId="77777777" w:rsidR="004B7F62" w:rsidRPr="004B7F62" w:rsidRDefault="004B7F62" w:rsidP="004B7F62">
      <w:pPr>
        <w:rPr>
          <w:rFonts w:ascii="Poppins" w:hAnsi="Poppins" w:cs="Poppins"/>
          <w:sz w:val="22"/>
          <w:lang w:val="pl-PL"/>
        </w:rPr>
      </w:pPr>
    </w:p>
    <w:p w14:paraId="7AABEF89" w14:textId="77777777" w:rsidR="004B7F62" w:rsidRPr="004B7F62" w:rsidRDefault="004B7F62" w:rsidP="004B7F62">
      <w:pPr>
        <w:rPr>
          <w:rFonts w:ascii="Poppins" w:hAnsi="Poppins" w:cs="Poppins"/>
          <w:b/>
          <w:bCs/>
          <w:sz w:val="22"/>
          <w:lang w:val="pl-PL"/>
        </w:rPr>
      </w:pPr>
      <w:r w:rsidRPr="004B7F62">
        <w:rPr>
          <w:rFonts w:ascii="Poppins" w:hAnsi="Poppins" w:cs="Poppins"/>
          <w:b/>
          <w:bCs/>
          <w:sz w:val="22"/>
        </w:rPr>
        <w:t>Pewne ożywienie dotyczy także mieszkań gminnych</w:t>
      </w:r>
    </w:p>
    <w:p w14:paraId="3F0FEA74" w14:textId="77777777" w:rsidR="004B7F62" w:rsidRPr="004B7F62" w:rsidRDefault="004B7F62" w:rsidP="004B7F62">
      <w:pPr>
        <w:rPr>
          <w:rFonts w:ascii="Poppins" w:hAnsi="Poppins" w:cs="Poppins"/>
          <w:b/>
          <w:bCs/>
          <w:sz w:val="22"/>
          <w:lang w:val="pl-PL"/>
        </w:rPr>
      </w:pPr>
    </w:p>
    <w:p w14:paraId="311162C4" w14:textId="77777777" w:rsidR="004B7F62" w:rsidRPr="004B7F62" w:rsidRDefault="004B7F62" w:rsidP="004B7F62">
      <w:pPr>
        <w:rPr>
          <w:rFonts w:ascii="Poppins" w:hAnsi="Poppins" w:cs="Poppins"/>
          <w:sz w:val="22"/>
        </w:rPr>
      </w:pPr>
      <w:r w:rsidRPr="004B7F62">
        <w:rPr>
          <w:rFonts w:ascii="Poppins" w:hAnsi="Poppins" w:cs="Poppins"/>
          <w:sz w:val="22"/>
        </w:rPr>
        <w:t>Przełożenie większej liczby pozwoleń na częściej rozpoczynane budowy, powinno dotyczyć również lokali komunalnych. Jeżeli chodzi o takie lokale z czynszem niższym od mieszkań społecznych, to pierwszy kwartał 2025 roku przyniósł już jednak wzrost ogólnopolskiej liczby rozpoczętych „M” (ze 102 do 429). Zdecydowanie najskromniej przedstawiają się wyniki dotyczące budownictwa spółdzielczego.</w:t>
      </w:r>
    </w:p>
    <w:p w14:paraId="0306C6C2" w14:textId="77777777" w:rsidR="004B7F62" w:rsidRPr="004B7F62" w:rsidRDefault="004B7F62" w:rsidP="004B7F62">
      <w:pPr>
        <w:rPr>
          <w:rFonts w:ascii="Poppins" w:hAnsi="Poppins" w:cs="Poppins"/>
          <w:sz w:val="22"/>
          <w:lang w:val="pl-PL"/>
        </w:rPr>
      </w:pPr>
      <w:r w:rsidRPr="004B7F62">
        <w:rPr>
          <w:rFonts w:ascii="Poppins" w:hAnsi="Poppins" w:cs="Poppins"/>
          <w:sz w:val="22"/>
        </w:rPr>
        <w:lastRenderedPageBreak/>
        <w:t xml:space="preserve">W kontekście spółdzielczych statystyk, musimy pamiętać, że chodzi o mieszkania budowane przez spółdzielnie wyłącznie dla własnych członków, a nie o lokale oferowane na zasadach deweloperskich klientom spółdzielni. Warto też odnotować roczny wzrost liczby rozpoczętych od stycznia do marca innych mieszkań na wynajem (zmiana ze 134 do 316). W przeszłości zdarzało się bowiem, że do tej kategorii trafiały mieszkania z preferencyjnym czynszem.   </w:t>
      </w:r>
    </w:p>
    <w:p w14:paraId="07F58D82" w14:textId="77777777" w:rsidR="004B7F62" w:rsidRPr="004B7F62" w:rsidRDefault="004B7F62" w:rsidP="004B7F62">
      <w:pPr>
        <w:rPr>
          <w:rFonts w:ascii="Poppins" w:hAnsi="Poppins" w:cs="Poppins"/>
          <w:sz w:val="22"/>
          <w:lang w:val="pl-PL"/>
        </w:rPr>
      </w:pPr>
    </w:p>
    <w:p w14:paraId="3603B3E1" w14:textId="689903A0" w:rsidR="004B7F62" w:rsidRPr="004B7F62" w:rsidRDefault="004B7F62" w:rsidP="004B7F62">
      <w:pPr>
        <w:rPr>
          <w:rFonts w:ascii="Poppins" w:hAnsi="Poppins" w:cs="Poppins"/>
          <w:b/>
          <w:bCs/>
          <w:sz w:val="22"/>
          <w:lang w:val="pl-PL"/>
        </w:rPr>
      </w:pPr>
      <w:r w:rsidRPr="004B7F62">
        <w:rPr>
          <w:rFonts w:ascii="Poppins" w:hAnsi="Poppins" w:cs="Poppins"/>
          <w:b/>
          <w:bCs/>
          <w:sz w:val="22"/>
        </w:rPr>
        <w:t>Kolejne kwartały mogą być bardzo interesujące</w:t>
      </w:r>
    </w:p>
    <w:p w14:paraId="75FEF3AD" w14:textId="77777777" w:rsidR="004B7F62" w:rsidRPr="004B7F62" w:rsidRDefault="004B7F62" w:rsidP="004B7F62">
      <w:pPr>
        <w:rPr>
          <w:rFonts w:ascii="Poppins" w:hAnsi="Poppins" w:cs="Poppins"/>
          <w:b/>
          <w:bCs/>
          <w:sz w:val="22"/>
          <w:lang w:val="pl-PL"/>
        </w:rPr>
      </w:pPr>
    </w:p>
    <w:p w14:paraId="47188972" w14:textId="6E9856AE" w:rsidR="004B7F62" w:rsidRPr="004B7F62" w:rsidRDefault="004B7F62" w:rsidP="004B7F62">
      <w:pPr>
        <w:rPr>
          <w:rFonts w:ascii="Poppins" w:hAnsi="Poppins" w:cs="Poppins"/>
          <w:sz w:val="22"/>
        </w:rPr>
      </w:pPr>
      <w:r w:rsidRPr="004B7F62">
        <w:rPr>
          <w:rFonts w:ascii="Poppins" w:hAnsi="Poppins" w:cs="Poppins"/>
          <w:sz w:val="22"/>
        </w:rPr>
        <w:t xml:space="preserve">Eksperci portalu </w:t>
      </w:r>
      <w:hyperlink r:id="rId9" w:history="1">
        <w:r w:rsidRPr="004B7F62">
          <w:rPr>
            <w:rStyle w:val="Hipercze"/>
            <w:rFonts w:ascii="Poppins" w:hAnsi="Poppins" w:cs="Poppins"/>
            <w:sz w:val="22"/>
          </w:rPr>
          <w:t>GetHome.pl</w:t>
        </w:r>
      </w:hyperlink>
      <w:r w:rsidRPr="004B7F62">
        <w:rPr>
          <w:rFonts w:ascii="Poppins" w:hAnsi="Poppins" w:cs="Poppins"/>
          <w:sz w:val="22"/>
        </w:rPr>
        <w:t xml:space="preserve"> zwracają uwagę, że w przeszłości statystyki dotyczące budownictwa społecznego, spółdzielczego i komunalnego cechowały się dużą nieregularnością. Nie można więc zakładać, że całoroczne wyniki będą proporcjonalnie większe od kwartalnych. Kolejne dane odnośnie budownictwa czynszowego powinny być ciekawe, bo obserwujemy ożywienie po stronie pozwoleń. W następnych kwartałach bardziej widoczne mogą być skutki zmian w zakresie finansowania zapowiadanych przez rząd. </w:t>
      </w:r>
    </w:p>
    <w:p w14:paraId="135DA891" w14:textId="77777777" w:rsidR="004B7F62" w:rsidRPr="004B7F62" w:rsidRDefault="004B7F62" w:rsidP="004B7F62">
      <w:pPr>
        <w:rPr>
          <w:rFonts w:ascii="Poppins" w:hAnsi="Poppins" w:cs="Poppins"/>
          <w:sz w:val="22"/>
          <w:lang w:val="pl-PL"/>
        </w:rPr>
      </w:pPr>
      <w:r w:rsidRPr="004B7F62">
        <w:rPr>
          <w:rFonts w:ascii="Poppins" w:hAnsi="Poppins" w:cs="Poppins"/>
          <w:sz w:val="22"/>
        </w:rPr>
        <w:t xml:space="preserve">Oczywiście, należy mieć świadomość, że cały czas mówimy o wynikach niewielkich w skali całej aktywności budowlanej. Przez pierwsze trzy miesiące 2025 r. inwestorzy spółdzielczy, komunalni i społeczni uzyskali zgody na budowę 3174 mieszkań. To stanowiło 5% całkowitego kwartalnego wyniku, który uwzględnia również pozwolenia na mieszkania i domy deweloperskie oraz domy prywatne (61 864 lokale i domy z pozwoleniami na budowę uzyskanymi w I kw. 2025 r. przez wszystkich inwestorów). </w:t>
      </w:r>
    </w:p>
    <w:p w14:paraId="476F072A" w14:textId="77777777" w:rsidR="004B7F62" w:rsidRPr="004B7F62" w:rsidRDefault="004B7F62" w:rsidP="004B7F62">
      <w:pPr>
        <w:rPr>
          <w:rFonts w:ascii="Poppins" w:hAnsi="Poppins" w:cs="Poppins"/>
          <w:sz w:val="22"/>
          <w:lang w:val="pl-PL"/>
        </w:rPr>
      </w:pPr>
    </w:p>
    <w:p w14:paraId="0B188777" w14:textId="77777777" w:rsidR="004B7F62" w:rsidRPr="004B7F62" w:rsidRDefault="004B7F62" w:rsidP="004B7F62">
      <w:pPr>
        <w:rPr>
          <w:rFonts w:ascii="Poppins" w:hAnsi="Poppins" w:cs="Poppins"/>
          <w:b/>
          <w:bCs/>
          <w:sz w:val="22"/>
          <w:lang w:val="pl-PL"/>
        </w:rPr>
      </w:pPr>
      <w:r w:rsidRPr="004B7F62">
        <w:rPr>
          <w:rFonts w:ascii="Poppins" w:hAnsi="Poppins" w:cs="Poppins"/>
          <w:b/>
          <w:bCs/>
          <w:sz w:val="22"/>
        </w:rPr>
        <w:t>„Czynszówki” powstaną w niewielkiej części kraju</w:t>
      </w:r>
    </w:p>
    <w:p w14:paraId="0F64A60F" w14:textId="77777777" w:rsidR="004B7F62" w:rsidRPr="004B7F62" w:rsidRDefault="004B7F62" w:rsidP="004B7F62">
      <w:pPr>
        <w:rPr>
          <w:rFonts w:ascii="Poppins" w:hAnsi="Poppins" w:cs="Poppins"/>
          <w:b/>
          <w:bCs/>
          <w:sz w:val="22"/>
          <w:lang w:val="pl-PL"/>
        </w:rPr>
      </w:pPr>
    </w:p>
    <w:p w14:paraId="471189F7" w14:textId="77777777" w:rsidR="004B7F62" w:rsidRPr="00BA1608" w:rsidRDefault="004B7F62" w:rsidP="004B7F62">
      <w:pPr>
        <w:rPr>
          <w:rFonts w:ascii="Poppins" w:hAnsi="Poppins" w:cs="Poppins"/>
          <w:sz w:val="21"/>
          <w:szCs w:val="21"/>
        </w:rPr>
      </w:pPr>
      <w:r w:rsidRPr="004B7F62">
        <w:rPr>
          <w:rFonts w:ascii="Poppins" w:hAnsi="Poppins" w:cs="Poppins"/>
          <w:sz w:val="22"/>
        </w:rPr>
        <w:t xml:space="preserve">Eksperci GetHome.pl tytułem podsumowania zwracają jeszcze uwagę na ciekawą mapę. Prezentuje ona liczbę mieszkań komunalnych i społecznych (SIM/TBS), na budowę których wydano pozwolenia w I kw. 2025 r. Ta mapa potwierdza bardzo dużą koncentrację wciąż niewielkich wyników budownictwa komunalnego i społecznego w zaledwie kilku miastach oraz powiatach. Wystarczy wspomnieć, że w I kw. 2025 r. za niemal połowę nowych pozwoleń dotyczących łącznie mieszkań komunalnych i społecznych odpowiadały dwa miasta – Poznań oraz Żory. </w:t>
      </w:r>
    </w:p>
    <w:p w14:paraId="06E6A93E" w14:textId="77777777" w:rsidR="004B7F62" w:rsidRDefault="004B7F62" w:rsidP="004B7F62">
      <w:pPr>
        <w:rPr>
          <w:rFonts w:ascii="Poppins" w:hAnsi="Poppins" w:cs="Poppins"/>
          <w:sz w:val="21"/>
          <w:szCs w:val="21"/>
        </w:rPr>
      </w:pPr>
    </w:p>
    <w:p w14:paraId="6428B7C4" w14:textId="720D64EB" w:rsidR="00AE411D" w:rsidRDefault="004B7F62" w:rsidP="004B7F62">
      <w:pPr>
        <w:pBdr>
          <w:top w:val="nil"/>
          <w:left w:val="nil"/>
          <w:bottom w:val="nil"/>
          <w:right w:val="nil"/>
          <w:between w:val="nil"/>
        </w:pBdr>
        <w:jc w:val="center"/>
        <w:rPr>
          <w:rFonts w:ascii="Poppins" w:hAnsi="Poppins" w:cs="Poppins"/>
          <w:color w:val="000000"/>
          <w:sz w:val="24"/>
          <w:szCs w:val="24"/>
          <w:shd w:val="clear" w:color="auto" w:fill="FFFFFF"/>
          <w:lang w:val="pl-PL"/>
        </w:rPr>
      </w:pPr>
      <w:r>
        <w:rPr>
          <w:rFonts w:ascii="Poppins" w:hAnsi="Poppins" w:cs="Poppins"/>
          <w:noProof/>
          <w:color w:val="000000"/>
          <w:sz w:val="24"/>
          <w:szCs w:val="24"/>
          <w:shd w:val="clear" w:color="auto" w:fill="FFFFFF"/>
          <w:lang w:val="pl-PL"/>
        </w:rPr>
        <w:lastRenderedPageBreak/>
        <w:drawing>
          <wp:inline distT="0" distB="0" distL="0" distR="0" wp14:anchorId="316D639C" wp14:editId="4F470165">
            <wp:extent cx="6088380" cy="4267200"/>
            <wp:effectExtent l="0" t="0" r="0" b="0"/>
            <wp:docPr id="4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8380" cy="4267200"/>
                    </a:xfrm>
                    <a:prstGeom prst="rect">
                      <a:avLst/>
                    </a:prstGeom>
                    <a:noFill/>
                    <a:ln>
                      <a:noFill/>
                    </a:ln>
                  </pic:spPr>
                </pic:pic>
              </a:graphicData>
            </a:graphic>
          </wp:inline>
        </w:drawing>
      </w:r>
    </w:p>
    <w:p w14:paraId="6472E7EE" w14:textId="77777777" w:rsidR="004B7F62" w:rsidRDefault="004B7F62" w:rsidP="004B7F62">
      <w:pPr>
        <w:pBdr>
          <w:top w:val="nil"/>
          <w:left w:val="nil"/>
          <w:bottom w:val="nil"/>
          <w:right w:val="nil"/>
          <w:between w:val="nil"/>
        </w:pBdr>
        <w:jc w:val="center"/>
        <w:rPr>
          <w:rFonts w:ascii="Poppins" w:hAnsi="Poppins" w:cs="Poppins"/>
          <w:color w:val="000000"/>
          <w:sz w:val="24"/>
          <w:szCs w:val="24"/>
          <w:shd w:val="clear" w:color="auto" w:fill="FFFFFF"/>
          <w:lang w:val="pl-PL"/>
        </w:rPr>
      </w:pPr>
    </w:p>
    <w:p w14:paraId="3BED24D1" w14:textId="4DDBA78C" w:rsidR="004B7F62" w:rsidRPr="00AE411D" w:rsidRDefault="004B7F62" w:rsidP="004B7F62">
      <w:pPr>
        <w:pBdr>
          <w:top w:val="nil"/>
          <w:left w:val="nil"/>
          <w:bottom w:val="nil"/>
          <w:right w:val="nil"/>
          <w:between w:val="nil"/>
        </w:pBdr>
        <w:jc w:val="center"/>
        <w:rPr>
          <w:rFonts w:ascii="Poppins" w:hAnsi="Poppins" w:cs="Poppins"/>
          <w:color w:val="000000"/>
          <w:sz w:val="24"/>
          <w:szCs w:val="24"/>
          <w:shd w:val="clear" w:color="auto" w:fill="FFFFFF"/>
          <w:lang w:val="pl-PL"/>
        </w:rPr>
      </w:pPr>
      <w:r>
        <w:rPr>
          <w:rFonts w:ascii="Poppins" w:hAnsi="Poppins" w:cs="Poppins"/>
          <w:noProof/>
          <w:color w:val="000000"/>
          <w:sz w:val="24"/>
          <w:szCs w:val="24"/>
          <w:shd w:val="clear" w:color="auto" w:fill="FFFFFF"/>
          <w:lang w:val="pl-PL"/>
        </w:rPr>
        <w:drawing>
          <wp:inline distT="0" distB="0" distL="0" distR="0" wp14:anchorId="045A5F85" wp14:editId="65D595AB">
            <wp:extent cx="6111240" cy="3108960"/>
            <wp:effectExtent l="0" t="0" r="0" b="0"/>
            <wp:docPr id="4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240" cy="3108960"/>
                    </a:xfrm>
                    <a:prstGeom prst="rect">
                      <a:avLst/>
                    </a:prstGeom>
                    <a:noFill/>
                    <a:ln>
                      <a:noFill/>
                    </a:ln>
                  </pic:spPr>
                </pic:pic>
              </a:graphicData>
            </a:graphic>
          </wp:inline>
        </w:drawing>
      </w:r>
    </w:p>
    <w:p w14:paraId="091EBB3D" w14:textId="77777777" w:rsidR="00BF428A" w:rsidRPr="00A35BA6" w:rsidRDefault="00BF428A" w:rsidP="00AE411D">
      <w:pPr>
        <w:pStyle w:val="Tretekstu"/>
        <w:jc w:val="center"/>
        <w:rPr>
          <w:rFonts w:ascii="Calibri" w:hAnsi="Calibri" w:cs="Calibri"/>
          <w:b/>
          <w:bCs/>
          <w:lang w:val="pl-PL"/>
        </w:rPr>
      </w:pPr>
    </w:p>
    <w:sectPr w:rsidR="00BF428A" w:rsidRPr="00A35BA6">
      <w:headerReference w:type="even" r:id="rId12"/>
      <w:headerReference w:type="default" r:id="rId13"/>
      <w:footerReference w:type="default" r:id="rId14"/>
      <w:headerReference w:type="first" r:id="rId15"/>
      <w:pgSz w:w="11906" w:h="16838"/>
      <w:pgMar w:top="720" w:right="720" w:bottom="720" w:left="720"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5E40A" w14:textId="77777777" w:rsidR="0043280F" w:rsidRDefault="0043280F">
      <w:r>
        <w:separator/>
      </w:r>
    </w:p>
  </w:endnote>
  <w:endnote w:type="continuationSeparator" w:id="0">
    <w:p w14:paraId="042C9846" w14:textId="77777777" w:rsidR="0043280F" w:rsidRDefault="0043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wis721LtEU">
    <w:charset w:val="00"/>
    <w:family w:val="swiss"/>
    <w:pitch w:val="default"/>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1ECE" w14:textId="0BD9E8AC" w:rsidR="00F731AE" w:rsidRDefault="004B7F62">
    <w:pPr>
      <w:pStyle w:val="Stopka"/>
      <w:rPr>
        <w:sz w:val="16"/>
        <w:szCs w:val="16"/>
        <w:lang w:val="pl-PL"/>
      </w:rPr>
    </w:pPr>
    <w:r>
      <w:rPr>
        <w:noProof/>
        <w:lang w:val="pl-PL" w:eastAsia="pl-PL"/>
      </w:rPr>
      <mc:AlternateContent>
        <mc:Choice Requires="wps">
          <w:drawing>
            <wp:anchor distT="0" distB="0" distL="114300" distR="114300" simplePos="0" relativeHeight="251660288" behindDoc="0" locked="0" layoutInCell="1" allowOverlap="1" wp14:anchorId="4A29382E" wp14:editId="4682328B">
              <wp:simplePos x="0" y="0"/>
              <wp:positionH relativeFrom="column">
                <wp:posOffset>0</wp:posOffset>
              </wp:positionH>
              <wp:positionV relativeFrom="paragraph">
                <wp:posOffset>70485</wp:posOffset>
              </wp:positionV>
              <wp:extent cx="6624955" cy="0"/>
              <wp:effectExtent l="9525" t="13335" r="13970" b="5715"/>
              <wp:wrapNone/>
              <wp:docPr id="151140665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4955" cy="0"/>
                      </a:xfrm>
                      <a:prstGeom prst="line">
                        <a:avLst/>
                      </a:prstGeom>
                      <a:noFill/>
                      <a:ln w="9525" algn="ctr">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F411908"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55pt" to="521.6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" strokecolor="#7030a0"/>
          </w:pict>
        </mc:Fallback>
      </mc:AlternateContent>
    </w:r>
  </w:p>
  <w:p w14:paraId="6ABD9E86" w14:textId="25B410C0" w:rsidR="00F731AE" w:rsidRDefault="004B7F62">
    <w:pPr>
      <w:pStyle w:val="Stopka"/>
      <w:jc w:val="center"/>
      <w:rPr>
        <w:sz w:val="16"/>
        <w:szCs w:val="16"/>
        <w:lang w:val="pl-PL"/>
      </w:rPr>
    </w:pPr>
    <w:r>
      <w:rPr>
        <w:noProof/>
        <w:lang w:val="pl-PL" w:eastAsia="pl-PL"/>
      </w:rPr>
      <mc:AlternateContent>
        <mc:Choice Requires="wps">
          <w:drawing>
            <wp:anchor distT="0" distB="0" distL="114300" distR="114300" simplePos="0" relativeHeight="251658240" behindDoc="0" locked="0" layoutInCell="1" allowOverlap="1" wp14:anchorId="2A5D0911" wp14:editId="28F3A2AA">
              <wp:simplePos x="0" y="0"/>
              <wp:positionH relativeFrom="column">
                <wp:posOffset>-76200</wp:posOffset>
              </wp:positionH>
              <wp:positionV relativeFrom="paragraph">
                <wp:posOffset>39370</wp:posOffset>
              </wp:positionV>
              <wp:extent cx="6701790" cy="590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790" cy="590550"/>
                      </a:xfrm>
                      <a:prstGeom prst="rect">
                        <a:avLst/>
                      </a:prstGeom>
                      <a:noFill/>
                      <a:ln w="9525">
                        <a:noFill/>
                        <a:miter lim="800000"/>
                        <a:headEnd/>
                        <a:tailEnd/>
                      </a:ln>
                    </wps:spPr>
                    <wps:txbx>
                      <w:txbxContent>
                        <w:p w14:paraId="46728F9F" w14:textId="77777777" w:rsidR="00F731AE" w:rsidRDefault="00F731AE">
                          <w:pPr>
                            <w:jc w:val="center"/>
                            <w:rPr>
                              <w:color w:val="808080"/>
                              <w:sz w:val="16"/>
                              <w:szCs w:val="16"/>
                              <w:lang w:val="pl-PL"/>
                            </w:rPr>
                          </w:pPr>
                          <w:r>
                            <w:rPr>
                              <w:color w:val="808080"/>
                              <w:sz w:val="16"/>
                              <w:szCs w:val="16"/>
                              <w:lang w:val="pl-PL"/>
                            </w:rPr>
                            <w:t>Wydawca serwisu www.</w:t>
                          </w:r>
                          <w:r w:rsidR="000F3171">
                            <w:rPr>
                              <w:color w:val="808080"/>
                              <w:sz w:val="16"/>
                              <w:szCs w:val="16"/>
                              <w:lang w:val="pl-PL"/>
                            </w:rPr>
                            <w:t>gethome</w:t>
                          </w:r>
                          <w:r>
                            <w:rPr>
                              <w:color w:val="808080"/>
                              <w:sz w:val="16"/>
                              <w:szCs w:val="16"/>
                              <w:lang w:val="pl-PL"/>
                            </w:rPr>
                            <w:t>.pl jest Property Group Sp. z o.o. ul. A. Naruszewicza 27/101, 02-627 Warszawa</w:t>
                          </w:r>
                        </w:p>
                        <w:p w14:paraId="33FCA266" w14:textId="77777777" w:rsidR="00F731AE" w:rsidRDefault="00F731AE">
                          <w:pPr>
                            <w:jc w:val="center"/>
                            <w:rPr>
                              <w:color w:val="808080"/>
                              <w:sz w:val="16"/>
                              <w:szCs w:val="16"/>
                              <w:lang w:val="pl-PL"/>
                            </w:rPr>
                          </w:pPr>
                          <w:r>
                            <w:rPr>
                              <w:color w:val="808080"/>
                              <w:sz w:val="16"/>
                              <w:szCs w:val="16"/>
                              <w:lang w:val="pl-PL"/>
                            </w:rPr>
                            <w:t>REGON 141961782, NIP 5213538080. Spółka jest zarejestrowana przez Sąd Rejonowy dla m.st. Warszawy w Warszawie,</w:t>
                          </w:r>
                        </w:p>
                        <w:p w14:paraId="7DEF0283" w14:textId="77777777" w:rsidR="00F731AE" w:rsidRDefault="00F731AE">
                          <w:pPr>
                            <w:jc w:val="center"/>
                            <w:rPr>
                              <w:color w:val="808080"/>
                              <w:sz w:val="16"/>
                              <w:szCs w:val="16"/>
                              <w:lang w:val="pl-PL"/>
                            </w:rPr>
                          </w:pPr>
                          <w:r>
                            <w:rPr>
                              <w:color w:val="808080"/>
                              <w:sz w:val="16"/>
                              <w:szCs w:val="16"/>
                              <w:lang w:val="pl-PL"/>
                            </w:rPr>
                            <w:t>XIII Wydział Gospodarczy Krajowego Rejestru Sądowego pod numerem KRS 0000335123. Kapitał zakładowy w wysokości 50 000 zł.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D0911" id="_x0000_t202" coordsize="21600,21600" o:spt="202" path="m,l,21600r21600,l21600,xe">
              <v:stroke joinstyle="miter"/>
              <v:path gradientshapeok="t" o:connecttype="rect"/>
            </v:shapetype>
            <v:shape id="_x0000_s1027" type="#_x0000_t202" style="position:absolute;left:0;text-align:left;margin-left:-6pt;margin-top:3.1pt;width:527.7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" filled="f" stroked="f">
              <v:textbox>
                <w:txbxContent>
                  <w:p w14:paraId="46728F9F" w14:textId="77777777" w:rsidR="00F731AE" w:rsidRDefault="00F731AE">
                    <w:pPr>
                      <w:jc w:val="center"/>
                      <w:rPr>
                        <w:color w:val="808080"/>
                        <w:sz w:val="16"/>
                        <w:szCs w:val="16"/>
                        <w:lang w:val="pl-PL"/>
                      </w:rPr>
                    </w:pPr>
                    <w:r>
                      <w:rPr>
                        <w:color w:val="808080"/>
                        <w:sz w:val="16"/>
                        <w:szCs w:val="16"/>
                        <w:lang w:val="pl-PL"/>
                      </w:rPr>
                      <w:t>Wydawca serwisu www.</w:t>
                    </w:r>
                    <w:r w:rsidR="000F3171">
                      <w:rPr>
                        <w:color w:val="808080"/>
                        <w:sz w:val="16"/>
                        <w:szCs w:val="16"/>
                        <w:lang w:val="pl-PL"/>
                      </w:rPr>
                      <w:t>gethome</w:t>
                    </w:r>
                    <w:r>
                      <w:rPr>
                        <w:color w:val="808080"/>
                        <w:sz w:val="16"/>
                        <w:szCs w:val="16"/>
                        <w:lang w:val="pl-PL"/>
                      </w:rPr>
                      <w:t>.pl jest Property Group Sp. z o.o. ul. A. Naruszewicza 27/101, 02-627 Warszawa</w:t>
                    </w:r>
                  </w:p>
                  <w:p w14:paraId="33FCA266" w14:textId="77777777" w:rsidR="00F731AE" w:rsidRDefault="00F731AE">
                    <w:pPr>
                      <w:jc w:val="center"/>
                      <w:rPr>
                        <w:color w:val="808080"/>
                        <w:sz w:val="16"/>
                        <w:szCs w:val="16"/>
                        <w:lang w:val="pl-PL"/>
                      </w:rPr>
                    </w:pPr>
                    <w:r>
                      <w:rPr>
                        <w:color w:val="808080"/>
                        <w:sz w:val="16"/>
                        <w:szCs w:val="16"/>
                        <w:lang w:val="pl-PL"/>
                      </w:rPr>
                      <w:t>REGON 141961782, NIP 5213538080. Spółka jest zarejestrowana przez Sąd Rejonowy dla m.st. Warszawy w Warszawie,</w:t>
                    </w:r>
                  </w:p>
                  <w:p w14:paraId="7DEF0283" w14:textId="77777777" w:rsidR="00F731AE" w:rsidRDefault="00F731AE">
                    <w:pPr>
                      <w:jc w:val="center"/>
                      <w:rPr>
                        <w:color w:val="808080"/>
                        <w:sz w:val="16"/>
                        <w:szCs w:val="16"/>
                        <w:lang w:val="pl-PL"/>
                      </w:rPr>
                    </w:pPr>
                    <w:r>
                      <w:rPr>
                        <w:color w:val="808080"/>
                        <w:sz w:val="16"/>
                        <w:szCs w:val="16"/>
                        <w:lang w:val="pl-PL"/>
                      </w:rPr>
                      <w:t>XIII Wydział Gospodarczy Krajowego Rejestru Sądowego pod numerem KRS 0000335123. Kapitał zakładowy w wysokości 50 000 zł.</w:t>
                    </w:r>
                  </w:p>
                </w:txbxContent>
              </v:textbox>
            </v:shape>
          </w:pict>
        </mc:Fallback>
      </mc:AlternateContent>
    </w:r>
  </w:p>
  <w:p w14:paraId="077764C8" w14:textId="77777777" w:rsidR="00F731AE" w:rsidRDefault="00F731AE">
    <w:pPr>
      <w:pStyle w:val="Stopka"/>
      <w:jc w:val="center"/>
      <w:rPr>
        <w:sz w:val="16"/>
        <w:szCs w:val="16"/>
        <w:lang w:val="pl-PL"/>
      </w:rPr>
    </w:pPr>
  </w:p>
  <w:p w14:paraId="0A6207EE" w14:textId="77777777" w:rsidR="00F731AE" w:rsidRDefault="00F731AE">
    <w:pPr>
      <w:pStyle w:val="Stopka"/>
      <w:rPr>
        <w:sz w:val="16"/>
        <w:szCs w:val="16"/>
        <w:lang w:val="pl-PL"/>
      </w:rPr>
    </w:pPr>
  </w:p>
  <w:p w14:paraId="6DD6DC92" w14:textId="77777777" w:rsidR="00F731AE" w:rsidRDefault="00F731AE">
    <w:pPr>
      <w:pStyle w:val="Stopka"/>
      <w:rPr>
        <w:sz w:val="16"/>
        <w:szCs w:val="16"/>
        <w:lang w:val="pl-PL"/>
      </w:rPr>
    </w:pPr>
  </w:p>
  <w:p w14:paraId="66D8C632" w14:textId="77777777" w:rsidR="00F731AE" w:rsidRDefault="00F731AE">
    <w:pPr>
      <w:pStyle w:val="Stopka"/>
      <w:tabs>
        <w:tab w:val="clear" w:pos="4536"/>
        <w:tab w:val="clear" w:pos="9072"/>
        <w:tab w:val="left" w:pos="3840"/>
      </w:tabs>
      <w:rPr>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0956E" w14:textId="77777777" w:rsidR="0043280F" w:rsidRDefault="0043280F">
      <w:r>
        <w:separator/>
      </w:r>
    </w:p>
  </w:footnote>
  <w:footnote w:type="continuationSeparator" w:id="0">
    <w:p w14:paraId="4AE7D5DF" w14:textId="77777777" w:rsidR="0043280F" w:rsidRDefault="00432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F4181" w14:textId="77777777" w:rsidR="00F731AE" w:rsidRDefault="00F731AE">
    <w:pPr>
      <w:pStyle w:val="Nagwek"/>
    </w:pPr>
    <w:r>
      <w:rPr>
        <w:lang w:val="pl-PL" w:eastAsia="ru-RU"/>
      </w:rPr>
      <w:pict w14:anchorId="7A06A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27192" o:spid="_x0000_s1025" type="#_x0000_t75" style="position:absolute;left:0;text-align:left;margin-left:0;margin-top:0;width:731.7pt;height:98.3pt;z-index:-251660288;mso-position-horizontal:center;mso-position-horizontal-relative:margin;mso-position-vertical:center;mso-position-vertical-relative:margin" o:allowincell="f">
          <v:imagedata r:id="rId1" o:title="stopk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AC344" w14:textId="464CD3A1" w:rsidR="00F731AE" w:rsidRDefault="004B7F62">
    <w:pPr>
      <w:pStyle w:val="Nagwek"/>
      <w:rPr>
        <w:lang w:val="pl-PL" w:eastAsia="pl-PL"/>
      </w:rPr>
    </w:pPr>
    <w:r>
      <w:rPr>
        <w:noProof/>
        <w:lang w:val="pl-PL" w:eastAsia="pl-PL"/>
      </w:rPr>
      <w:drawing>
        <wp:inline distT="0" distB="0" distL="0" distR="0" wp14:anchorId="6C05A8A7" wp14:editId="1145D1D7">
          <wp:extent cx="4648200" cy="11734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0" cy="1173480"/>
                  </a:xfrm>
                  <a:prstGeom prst="rect">
                    <a:avLst/>
                  </a:prstGeom>
                  <a:noFill/>
                  <a:ln>
                    <a:noFill/>
                  </a:ln>
                </pic:spPr>
              </pic:pic>
            </a:graphicData>
          </a:graphic>
        </wp:inline>
      </w:drawing>
    </w:r>
    <w:r>
      <w:rPr>
        <w:noProof/>
        <w:lang w:val="pl-PL" w:eastAsia="pl-PL"/>
      </w:rPr>
      <mc:AlternateContent>
        <mc:Choice Requires="wps">
          <w:drawing>
            <wp:anchor distT="0" distB="0" distL="114300" distR="114300" simplePos="0" relativeHeight="251657216" behindDoc="0" locked="0" layoutInCell="1" allowOverlap="1" wp14:anchorId="30240F52" wp14:editId="1C1AAC33">
              <wp:simplePos x="0" y="0"/>
              <wp:positionH relativeFrom="column">
                <wp:posOffset>5255260</wp:posOffset>
              </wp:positionH>
              <wp:positionV relativeFrom="paragraph">
                <wp:posOffset>-18415</wp:posOffset>
              </wp:positionV>
              <wp:extent cx="1470660" cy="120015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1200150"/>
                      </a:xfrm>
                      <a:prstGeom prst="rect">
                        <a:avLst/>
                      </a:prstGeom>
                      <a:noFill/>
                      <a:ln w="9525">
                        <a:noFill/>
                        <a:miter lim="800000"/>
                        <a:headEnd/>
                        <a:tailEnd/>
                      </a:ln>
                    </wps:spPr>
                    <wps:txbx>
                      <w:txbxContent>
                        <w:p w14:paraId="5D41E643" w14:textId="77777777" w:rsidR="00F731AE" w:rsidRDefault="000F3171">
                          <w:pPr>
                            <w:jc w:val="right"/>
                            <w:rPr>
                              <w:color w:val="808080"/>
                              <w:sz w:val="16"/>
                              <w:szCs w:val="16"/>
                              <w:lang w:val="pl-PL"/>
                            </w:rPr>
                          </w:pPr>
                          <w:r w:rsidRPr="000F3171">
                            <w:rPr>
                              <w:b/>
                              <w:color w:val="7030A0"/>
                              <w:sz w:val="16"/>
                              <w:szCs w:val="16"/>
                              <w:lang w:val="pl-PL"/>
                            </w:rPr>
                            <w:t>Gethome</w:t>
                          </w:r>
                          <w:r w:rsidR="00F731AE" w:rsidRPr="000F3171">
                            <w:rPr>
                              <w:b/>
                              <w:color w:val="7030A0"/>
                              <w:sz w:val="16"/>
                              <w:szCs w:val="16"/>
                              <w:lang w:val="pl-PL"/>
                            </w:rPr>
                            <w:t>.pl</w:t>
                          </w:r>
                          <w:r w:rsidR="00F731AE">
                            <w:rPr>
                              <w:b/>
                              <w:color w:val="CC0066"/>
                              <w:sz w:val="16"/>
                              <w:szCs w:val="16"/>
                              <w:lang w:val="pl-PL"/>
                            </w:rPr>
                            <w:br/>
                          </w:r>
                          <w:r w:rsidR="00F731AE">
                            <w:rPr>
                              <w:color w:val="808080"/>
                              <w:sz w:val="16"/>
                              <w:szCs w:val="16"/>
                              <w:lang w:val="pl-PL"/>
                            </w:rPr>
                            <w:t>ul. A. Naruszewicza 27/101</w:t>
                          </w:r>
                        </w:p>
                        <w:p w14:paraId="442B6FDB" w14:textId="77777777" w:rsidR="00F731AE" w:rsidRDefault="00F731AE">
                          <w:pPr>
                            <w:jc w:val="right"/>
                            <w:rPr>
                              <w:color w:val="808080"/>
                              <w:sz w:val="16"/>
                              <w:szCs w:val="16"/>
                              <w:lang w:val="pl-PL"/>
                            </w:rPr>
                          </w:pPr>
                          <w:r>
                            <w:rPr>
                              <w:color w:val="808080"/>
                              <w:sz w:val="16"/>
                              <w:szCs w:val="16"/>
                              <w:lang w:val="pl-PL"/>
                            </w:rPr>
                            <w:t>02-627 Warszawa</w:t>
                          </w:r>
                        </w:p>
                        <w:p w14:paraId="516F0464" w14:textId="77777777" w:rsidR="00F731AE" w:rsidRDefault="00F731AE">
                          <w:pPr>
                            <w:jc w:val="right"/>
                            <w:rPr>
                              <w:color w:val="808080"/>
                              <w:sz w:val="16"/>
                              <w:szCs w:val="16"/>
                              <w:lang w:val="pl-PL"/>
                            </w:rPr>
                          </w:pPr>
                        </w:p>
                        <w:p w14:paraId="2B085662" w14:textId="77777777" w:rsidR="00F731AE" w:rsidRDefault="00F731AE">
                          <w:pPr>
                            <w:jc w:val="right"/>
                            <w:rPr>
                              <w:color w:val="808080"/>
                              <w:sz w:val="16"/>
                              <w:szCs w:val="16"/>
                              <w:lang w:val="pl-PL"/>
                            </w:rPr>
                          </w:pPr>
                          <w:r>
                            <w:rPr>
                              <w:color w:val="808080"/>
                              <w:sz w:val="16"/>
                              <w:szCs w:val="16"/>
                              <w:lang w:val="pl-PL"/>
                            </w:rPr>
                            <w:t>tel: +48 (22) 253 66 68</w:t>
                          </w:r>
                        </w:p>
                        <w:p w14:paraId="79E6B036" w14:textId="77777777" w:rsidR="00F731AE" w:rsidRDefault="00F731AE">
                          <w:pPr>
                            <w:jc w:val="right"/>
                            <w:rPr>
                              <w:color w:val="808080"/>
                              <w:sz w:val="16"/>
                              <w:szCs w:val="16"/>
                              <w:lang w:val="pl-PL"/>
                            </w:rPr>
                          </w:pPr>
                          <w:r>
                            <w:rPr>
                              <w:color w:val="808080"/>
                              <w:sz w:val="16"/>
                              <w:szCs w:val="16"/>
                              <w:lang w:val="pl-PL"/>
                            </w:rPr>
                            <w:t>fax: +48 (22) 349 28 88</w:t>
                          </w:r>
                        </w:p>
                        <w:p w14:paraId="2202F3D1" w14:textId="77777777" w:rsidR="00F731AE" w:rsidRDefault="00F731AE">
                          <w:pPr>
                            <w:jc w:val="right"/>
                            <w:rPr>
                              <w:color w:val="808080"/>
                              <w:sz w:val="16"/>
                              <w:szCs w:val="16"/>
                              <w:lang w:val="pl-PL"/>
                            </w:rPr>
                          </w:pPr>
                        </w:p>
                        <w:p w14:paraId="6650577D" w14:textId="77777777" w:rsidR="00F731AE" w:rsidRDefault="00F731AE">
                          <w:pPr>
                            <w:jc w:val="right"/>
                            <w:rPr>
                              <w:color w:val="808080"/>
                              <w:sz w:val="16"/>
                              <w:szCs w:val="16"/>
                              <w:lang w:val="pl-PL"/>
                            </w:rPr>
                          </w:pPr>
                          <w:r>
                            <w:rPr>
                              <w:color w:val="808080"/>
                              <w:sz w:val="16"/>
                              <w:szCs w:val="16"/>
                              <w:lang w:val="pl-PL"/>
                            </w:rPr>
                            <w:t>biuro@</w:t>
                          </w:r>
                          <w:r w:rsidR="000F3171">
                            <w:rPr>
                              <w:color w:val="808080"/>
                              <w:sz w:val="16"/>
                              <w:szCs w:val="16"/>
                              <w:lang w:val="pl-PL"/>
                            </w:rPr>
                            <w:t>gethome</w:t>
                          </w:r>
                          <w:r>
                            <w:rPr>
                              <w:color w:val="808080"/>
                              <w:sz w:val="16"/>
                              <w:szCs w:val="16"/>
                              <w:lang w:val="pl-PL"/>
                            </w:rPr>
                            <w:t>.pl</w:t>
                          </w:r>
                        </w:p>
                        <w:p w14:paraId="333949F3" w14:textId="77777777" w:rsidR="00F731AE" w:rsidRDefault="00F731AE">
                          <w:pPr>
                            <w:jc w:val="right"/>
                            <w:rPr>
                              <w:color w:val="808080"/>
                              <w:sz w:val="16"/>
                              <w:szCs w:val="16"/>
                              <w:lang w:val="pl-PL"/>
                            </w:rPr>
                          </w:pPr>
                          <w:r>
                            <w:rPr>
                              <w:color w:val="808080"/>
                              <w:sz w:val="16"/>
                              <w:szCs w:val="16"/>
                              <w:lang w:val="pl-PL"/>
                            </w:rPr>
                            <w:t>www.</w:t>
                          </w:r>
                          <w:r w:rsidR="000F3171">
                            <w:rPr>
                              <w:color w:val="808080"/>
                              <w:sz w:val="16"/>
                              <w:szCs w:val="16"/>
                              <w:lang w:val="pl-PL"/>
                            </w:rPr>
                            <w:t>gethome</w:t>
                          </w:r>
                          <w:r>
                            <w:rPr>
                              <w:color w:val="808080"/>
                              <w:sz w:val="16"/>
                              <w:szCs w:val="16"/>
                              <w:lang w:val="pl-PL"/>
                            </w:rPr>
                            <w:t>.pl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240F52" id="_x0000_t202" coordsize="21600,21600" o:spt="202" path="m,l,21600r21600,l21600,xe">
              <v:stroke joinstyle="miter"/>
              <v:path gradientshapeok="t" o:connecttype="rect"/>
            </v:shapetype>
            <v:shape id="Text Box 2" o:spid="_x0000_s1026" type="#_x0000_t202" style="position:absolute;left:0;text-align:left;margin-left:413.8pt;margin-top:-1.45pt;width:115.8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" filled="f" stroked="f">
              <v:textbox>
                <w:txbxContent>
                  <w:p w14:paraId="5D41E643" w14:textId="77777777" w:rsidR="00F731AE" w:rsidRDefault="000F3171">
                    <w:pPr>
                      <w:jc w:val="right"/>
                      <w:rPr>
                        <w:color w:val="808080"/>
                        <w:sz w:val="16"/>
                        <w:szCs w:val="16"/>
                        <w:lang w:val="pl-PL"/>
                      </w:rPr>
                    </w:pPr>
                    <w:r w:rsidRPr="000F3171">
                      <w:rPr>
                        <w:b/>
                        <w:color w:val="7030A0"/>
                        <w:sz w:val="16"/>
                        <w:szCs w:val="16"/>
                        <w:lang w:val="pl-PL"/>
                      </w:rPr>
                      <w:t>Gethome</w:t>
                    </w:r>
                    <w:r w:rsidR="00F731AE" w:rsidRPr="000F3171">
                      <w:rPr>
                        <w:b/>
                        <w:color w:val="7030A0"/>
                        <w:sz w:val="16"/>
                        <w:szCs w:val="16"/>
                        <w:lang w:val="pl-PL"/>
                      </w:rPr>
                      <w:t>.pl</w:t>
                    </w:r>
                    <w:r w:rsidR="00F731AE">
                      <w:rPr>
                        <w:b/>
                        <w:color w:val="CC0066"/>
                        <w:sz w:val="16"/>
                        <w:szCs w:val="16"/>
                        <w:lang w:val="pl-PL"/>
                      </w:rPr>
                      <w:br/>
                    </w:r>
                    <w:r w:rsidR="00F731AE">
                      <w:rPr>
                        <w:color w:val="808080"/>
                        <w:sz w:val="16"/>
                        <w:szCs w:val="16"/>
                        <w:lang w:val="pl-PL"/>
                      </w:rPr>
                      <w:t>ul. A. Naruszewicza 27/101</w:t>
                    </w:r>
                  </w:p>
                  <w:p w14:paraId="442B6FDB" w14:textId="77777777" w:rsidR="00F731AE" w:rsidRDefault="00F731AE">
                    <w:pPr>
                      <w:jc w:val="right"/>
                      <w:rPr>
                        <w:color w:val="808080"/>
                        <w:sz w:val="16"/>
                        <w:szCs w:val="16"/>
                        <w:lang w:val="pl-PL"/>
                      </w:rPr>
                    </w:pPr>
                    <w:r>
                      <w:rPr>
                        <w:color w:val="808080"/>
                        <w:sz w:val="16"/>
                        <w:szCs w:val="16"/>
                        <w:lang w:val="pl-PL"/>
                      </w:rPr>
                      <w:t>02-627 Warszawa</w:t>
                    </w:r>
                  </w:p>
                  <w:p w14:paraId="516F0464" w14:textId="77777777" w:rsidR="00F731AE" w:rsidRDefault="00F731AE">
                    <w:pPr>
                      <w:jc w:val="right"/>
                      <w:rPr>
                        <w:color w:val="808080"/>
                        <w:sz w:val="16"/>
                        <w:szCs w:val="16"/>
                        <w:lang w:val="pl-PL"/>
                      </w:rPr>
                    </w:pPr>
                  </w:p>
                  <w:p w14:paraId="2B085662" w14:textId="77777777" w:rsidR="00F731AE" w:rsidRDefault="00F731AE">
                    <w:pPr>
                      <w:jc w:val="right"/>
                      <w:rPr>
                        <w:color w:val="808080"/>
                        <w:sz w:val="16"/>
                        <w:szCs w:val="16"/>
                        <w:lang w:val="pl-PL"/>
                      </w:rPr>
                    </w:pPr>
                    <w:r>
                      <w:rPr>
                        <w:color w:val="808080"/>
                        <w:sz w:val="16"/>
                        <w:szCs w:val="16"/>
                        <w:lang w:val="pl-PL"/>
                      </w:rPr>
                      <w:t>tel: +48 (22) 253 66 68</w:t>
                    </w:r>
                  </w:p>
                  <w:p w14:paraId="79E6B036" w14:textId="77777777" w:rsidR="00F731AE" w:rsidRDefault="00F731AE">
                    <w:pPr>
                      <w:jc w:val="right"/>
                      <w:rPr>
                        <w:color w:val="808080"/>
                        <w:sz w:val="16"/>
                        <w:szCs w:val="16"/>
                        <w:lang w:val="pl-PL"/>
                      </w:rPr>
                    </w:pPr>
                    <w:r>
                      <w:rPr>
                        <w:color w:val="808080"/>
                        <w:sz w:val="16"/>
                        <w:szCs w:val="16"/>
                        <w:lang w:val="pl-PL"/>
                      </w:rPr>
                      <w:t>fax: +48 (22) 349 28 88</w:t>
                    </w:r>
                  </w:p>
                  <w:p w14:paraId="2202F3D1" w14:textId="77777777" w:rsidR="00F731AE" w:rsidRDefault="00F731AE">
                    <w:pPr>
                      <w:jc w:val="right"/>
                      <w:rPr>
                        <w:color w:val="808080"/>
                        <w:sz w:val="16"/>
                        <w:szCs w:val="16"/>
                        <w:lang w:val="pl-PL"/>
                      </w:rPr>
                    </w:pPr>
                  </w:p>
                  <w:p w14:paraId="6650577D" w14:textId="77777777" w:rsidR="00F731AE" w:rsidRDefault="00F731AE">
                    <w:pPr>
                      <w:jc w:val="right"/>
                      <w:rPr>
                        <w:color w:val="808080"/>
                        <w:sz w:val="16"/>
                        <w:szCs w:val="16"/>
                        <w:lang w:val="pl-PL"/>
                      </w:rPr>
                    </w:pPr>
                    <w:r>
                      <w:rPr>
                        <w:color w:val="808080"/>
                        <w:sz w:val="16"/>
                        <w:szCs w:val="16"/>
                        <w:lang w:val="pl-PL"/>
                      </w:rPr>
                      <w:t>biuro@</w:t>
                    </w:r>
                    <w:r w:rsidR="000F3171">
                      <w:rPr>
                        <w:color w:val="808080"/>
                        <w:sz w:val="16"/>
                        <w:szCs w:val="16"/>
                        <w:lang w:val="pl-PL"/>
                      </w:rPr>
                      <w:t>gethome</w:t>
                    </w:r>
                    <w:r>
                      <w:rPr>
                        <w:color w:val="808080"/>
                        <w:sz w:val="16"/>
                        <w:szCs w:val="16"/>
                        <w:lang w:val="pl-PL"/>
                      </w:rPr>
                      <w:t>.pl</w:t>
                    </w:r>
                  </w:p>
                  <w:p w14:paraId="333949F3" w14:textId="77777777" w:rsidR="00F731AE" w:rsidRDefault="00F731AE">
                    <w:pPr>
                      <w:jc w:val="right"/>
                      <w:rPr>
                        <w:color w:val="808080"/>
                        <w:sz w:val="16"/>
                        <w:szCs w:val="16"/>
                        <w:lang w:val="pl-PL"/>
                      </w:rPr>
                    </w:pPr>
                    <w:r>
                      <w:rPr>
                        <w:color w:val="808080"/>
                        <w:sz w:val="16"/>
                        <w:szCs w:val="16"/>
                        <w:lang w:val="pl-PL"/>
                      </w:rPr>
                      <w:t>www.</w:t>
                    </w:r>
                    <w:r w:rsidR="000F3171">
                      <w:rPr>
                        <w:color w:val="808080"/>
                        <w:sz w:val="16"/>
                        <w:szCs w:val="16"/>
                        <w:lang w:val="pl-PL"/>
                      </w:rPr>
                      <w:t>gethome</w:t>
                    </w:r>
                    <w:r>
                      <w:rPr>
                        <w:color w:val="808080"/>
                        <w:sz w:val="16"/>
                        <w:szCs w:val="16"/>
                        <w:lang w:val="pl-PL"/>
                      </w:rPr>
                      <w:t>.pl</w:t>
                    </w:r>
                  </w:p>
                </w:txbxContent>
              </v:textbox>
              <w10:wrap type="square"/>
            </v:shape>
          </w:pict>
        </mc:Fallback>
      </mc:AlternateContent>
    </w:r>
  </w:p>
  <w:p w14:paraId="2B01ED28" w14:textId="58771DF7" w:rsidR="00F731AE" w:rsidRDefault="004B7F62">
    <w:pPr>
      <w:pStyle w:val="Nagwek"/>
      <w:rPr>
        <w:lang w:val="pl-PL"/>
      </w:rPr>
    </w:pPr>
    <w:r>
      <w:rPr>
        <w:noProof/>
        <w:lang w:val="pl-PL" w:eastAsia="pl-PL"/>
      </w:rPr>
      <mc:AlternateContent>
        <mc:Choice Requires="wps">
          <w:drawing>
            <wp:anchor distT="0" distB="0" distL="114300" distR="114300" simplePos="0" relativeHeight="251659264" behindDoc="0" locked="0" layoutInCell="1" allowOverlap="1" wp14:anchorId="726C91FB" wp14:editId="5DEFED80">
              <wp:simplePos x="0" y="0"/>
              <wp:positionH relativeFrom="column">
                <wp:posOffset>0</wp:posOffset>
              </wp:positionH>
              <wp:positionV relativeFrom="paragraph">
                <wp:posOffset>141605</wp:posOffset>
              </wp:positionV>
              <wp:extent cx="6625590" cy="0"/>
              <wp:effectExtent l="9525" t="8255" r="13335" b="10795"/>
              <wp:wrapNone/>
              <wp:docPr id="68550352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5590" cy="0"/>
                      </a:xfrm>
                      <a:prstGeom prst="line">
                        <a:avLst/>
                      </a:prstGeom>
                      <a:noFill/>
                      <a:ln w="9525" algn="ctr">
                        <a:solidFill>
                          <a:srgbClr val="7030A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C1032E8"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15pt" to="521.7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" strokecolor="#7030a0"/>
          </w:pict>
        </mc:Fallback>
      </mc:AlternateContent>
    </w:r>
    <w:r w:rsidR="00F731AE">
      <w:rPr>
        <w:lang w:val="pl-PL"/>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E76B3" w14:textId="77777777" w:rsidR="00F731AE" w:rsidRDefault="00F731AE">
    <w:pPr>
      <w:pStyle w:val="Nagwek"/>
    </w:pPr>
    <w:r>
      <w:rPr>
        <w:lang w:val="pl-PL" w:eastAsia="ru-RU"/>
      </w:rPr>
      <w:pict w14:anchorId="4E3188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27191" o:spid="_x0000_s1038" type="#_x0000_t75" style="position:absolute;left:0;text-align:left;margin-left:0;margin-top:0;width:731.7pt;height:98.3pt;z-index:-251661312;mso-position-horizontal:center;mso-position-horizontal-relative:margin;mso-position-vertical:center;mso-position-vertical-relative:margin" o:allowincell="f">
          <v:imagedata r:id="rId1" o:title="stopk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5678C"/>
    <w:multiLevelType w:val="hybridMultilevel"/>
    <w:tmpl w:val="649ACD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0EC5CC9"/>
    <w:multiLevelType w:val="hybridMultilevel"/>
    <w:tmpl w:val="B22CD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1828597">
    <w:abstractNumId w:val="1"/>
  </w:num>
  <w:num w:numId="2" w16cid:durableId="1923757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6BF"/>
    <w:rsid w:val="00004673"/>
    <w:rsid w:val="000057D4"/>
    <w:rsid w:val="000062F2"/>
    <w:rsid w:val="00011007"/>
    <w:rsid w:val="00014497"/>
    <w:rsid w:val="00016A54"/>
    <w:rsid w:val="0002234C"/>
    <w:rsid w:val="000234F5"/>
    <w:rsid w:val="0002628E"/>
    <w:rsid w:val="0003221A"/>
    <w:rsid w:val="00037311"/>
    <w:rsid w:val="000379DA"/>
    <w:rsid w:val="000412DF"/>
    <w:rsid w:val="00041C1F"/>
    <w:rsid w:val="00043033"/>
    <w:rsid w:val="00044ED9"/>
    <w:rsid w:val="00046687"/>
    <w:rsid w:val="0005230C"/>
    <w:rsid w:val="000538F0"/>
    <w:rsid w:val="00053C6D"/>
    <w:rsid w:val="00055CB1"/>
    <w:rsid w:val="00056B64"/>
    <w:rsid w:val="0006193F"/>
    <w:rsid w:val="00061F5F"/>
    <w:rsid w:val="000669EC"/>
    <w:rsid w:val="000705D9"/>
    <w:rsid w:val="00070A7E"/>
    <w:rsid w:val="00071571"/>
    <w:rsid w:val="0007465E"/>
    <w:rsid w:val="00075369"/>
    <w:rsid w:val="00075705"/>
    <w:rsid w:val="00075ED8"/>
    <w:rsid w:val="00075FDA"/>
    <w:rsid w:val="00080AD2"/>
    <w:rsid w:val="000828B8"/>
    <w:rsid w:val="00082B7C"/>
    <w:rsid w:val="000838CB"/>
    <w:rsid w:val="0008558E"/>
    <w:rsid w:val="0008726B"/>
    <w:rsid w:val="0009174A"/>
    <w:rsid w:val="00092165"/>
    <w:rsid w:val="00092E0F"/>
    <w:rsid w:val="00093C14"/>
    <w:rsid w:val="00094237"/>
    <w:rsid w:val="00095EB7"/>
    <w:rsid w:val="000A42A3"/>
    <w:rsid w:val="000B1F56"/>
    <w:rsid w:val="000B376C"/>
    <w:rsid w:val="000C1843"/>
    <w:rsid w:val="000D0B6C"/>
    <w:rsid w:val="000D1361"/>
    <w:rsid w:val="000D5ACA"/>
    <w:rsid w:val="000D65D5"/>
    <w:rsid w:val="000E14F4"/>
    <w:rsid w:val="000E42B4"/>
    <w:rsid w:val="000F0517"/>
    <w:rsid w:val="000F2D7C"/>
    <w:rsid w:val="000F3171"/>
    <w:rsid w:val="00107325"/>
    <w:rsid w:val="00110D88"/>
    <w:rsid w:val="00117108"/>
    <w:rsid w:val="00120F78"/>
    <w:rsid w:val="001212BA"/>
    <w:rsid w:val="001228D6"/>
    <w:rsid w:val="00130049"/>
    <w:rsid w:val="00131C13"/>
    <w:rsid w:val="00134688"/>
    <w:rsid w:val="001350B8"/>
    <w:rsid w:val="001436B5"/>
    <w:rsid w:val="00153390"/>
    <w:rsid w:val="00156C3B"/>
    <w:rsid w:val="001620FA"/>
    <w:rsid w:val="001642E4"/>
    <w:rsid w:val="001662D6"/>
    <w:rsid w:val="001714C4"/>
    <w:rsid w:val="001745B2"/>
    <w:rsid w:val="00175E4B"/>
    <w:rsid w:val="00184001"/>
    <w:rsid w:val="0018694B"/>
    <w:rsid w:val="001915C5"/>
    <w:rsid w:val="0019440B"/>
    <w:rsid w:val="001949C8"/>
    <w:rsid w:val="0019548D"/>
    <w:rsid w:val="001A5171"/>
    <w:rsid w:val="001A7C06"/>
    <w:rsid w:val="001C5CED"/>
    <w:rsid w:val="001D0056"/>
    <w:rsid w:val="001D0A6F"/>
    <w:rsid w:val="001D225D"/>
    <w:rsid w:val="001D2BD0"/>
    <w:rsid w:val="001D47A1"/>
    <w:rsid w:val="001D6AFA"/>
    <w:rsid w:val="001D7CE2"/>
    <w:rsid w:val="001E110C"/>
    <w:rsid w:val="001E2E70"/>
    <w:rsid w:val="001E4232"/>
    <w:rsid w:val="001E4490"/>
    <w:rsid w:val="001E5F31"/>
    <w:rsid w:val="001F02BC"/>
    <w:rsid w:val="001F04DD"/>
    <w:rsid w:val="001F509A"/>
    <w:rsid w:val="001F76F5"/>
    <w:rsid w:val="00201C2A"/>
    <w:rsid w:val="00203EB6"/>
    <w:rsid w:val="00207DF8"/>
    <w:rsid w:val="0021009A"/>
    <w:rsid w:val="0021043D"/>
    <w:rsid w:val="00217F88"/>
    <w:rsid w:val="00217FE0"/>
    <w:rsid w:val="0022064D"/>
    <w:rsid w:val="00223A50"/>
    <w:rsid w:val="002263E0"/>
    <w:rsid w:val="0023120A"/>
    <w:rsid w:val="00231A79"/>
    <w:rsid w:val="00232654"/>
    <w:rsid w:val="00232D9B"/>
    <w:rsid w:val="00242991"/>
    <w:rsid w:val="002446FA"/>
    <w:rsid w:val="00245069"/>
    <w:rsid w:val="00247411"/>
    <w:rsid w:val="00247774"/>
    <w:rsid w:val="0024799D"/>
    <w:rsid w:val="00252407"/>
    <w:rsid w:val="00255221"/>
    <w:rsid w:val="002608F6"/>
    <w:rsid w:val="0026123F"/>
    <w:rsid w:val="00277A89"/>
    <w:rsid w:val="00281211"/>
    <w:rsid w:val="0028204F"/>
    <w:rsid w:val="002820BA"/>
    <w:rsid w:val="0028246F"/>
    <w:rsid w:val="00282EF8"/>
    <w:rsid w:val="00283FC0"/>
    <w:rsid w:val="00287C60"/>
    <w:rsid w:val="00292462"/>
    <w:rsid w:val="00297C8B"/>
    <w:rsid w:val="002A046B"/>
    <w:rsid w:val="002A12A7"/>
    <w:rsid w:val="002A15DE"/>
    <w:rsid w:val="002A2162"/>
    <w:rsid w:val="002A39B2"/>
    <w:rsid w:val="002A79A6"/>
    <w:rsid w:val="002B0305"/>
    <w:rsid w:val="002B11E7"/>
    <w:rsid w:val="002B348F"/>
    <w:rsid w:val="002B473E"/>
    <w:rsid w:val="002C01AA"/>
    <w:rsid w:val="002D532B"/>
    <w:rsid w:val="002E0BC2"/>
    <w:rsid w:val="002E0EEB"/>
    <w:rsid w:val="002E0F9B"/>
    <w:rsid w:val="002E184A"/>
    <w:rsid w:val="002E3E3B"/>
    <w:rsid w:val="002E4F99"/>
    <w:rsid w:val="002E5BC7"/>
    <w:rsid w:val="002F10CE"/>
    <w:rsid w:val="002F22F2"/>
    <w:rsid w:val="002F36E2"/>
    <w:rsid w:val="002F51DD"/>
    <w:rsid w:val="002F55EC"/>
    <w:rsid w:val="002F71FD"/>
    <w:rsid w:val="002F7C89"/>
    <w:rsid w:val="0030213B"/>
    <w:rsid w:val="00303070"/>
    <w:rsid w:val="003033E6"/>
    <w:rsid w:val="0030488F"/>
    <w:rsid w:val="00304A51"/>
    <w:rsid w:val="00304ED8"/>
    <w:rsid w:val="00315E6B"/>
    <w:rsid w:val="00316486"/>
    <w:rsid w:val="00317F08"/>
    <w:rsid w:val="00323F0C"/>
    <w:rsid w:val="00324AF8"/>
    <w:rsid w:val="003266B3"/>
    <w:rsid w:val="00327E5A"/>
    <w:rsid w:val="00330CFA"/>
    <w:rsid w:val="003321B2"/>
    <w:rsid w:val="00332384"/>
    <w:rsid w:val="00333377"/>
    <w:rsid w:val="00333A00"/>
    <w:rsid w:val="00334BC4"/>
    <w:rsid w:val="00344301"/>
    <w:rsid w:val="00344A27"/>
    <w:rsid w:val="00345356"/>
    <w:rsid w:val="003522EE"/>
    <w:rsid w:val="00355B9F"/>
    <w:rsid w:val="00360B0A"/>
    <w:rsid w:val="00364015"/>
    <w:rsid w:val="00364C9A"/>
    <w:rsid w:val="003712DC"/>
    <w:rsid w:val="00373461"/>
    <w:rsid w:val="003758DD"/>
    <w:rsid w:val="0038229C"/>
    <w:rsid w:val="00383895"/>
    <w:rsid w:val="00393C2E"/>
    <w:rsid w:val="003960B9"/>
    <w:rsid w:val="00396794"/>
    <w:rsid w:val="003973D4"/>
    <w:rsid w:val="00397544"/>
    <w:rsid w:val="003A1B80"/>
    <w:rsid w:val="003A6334"/>
    <w:rsid w:val="003B26CA"/>
    <w:rsid w:val="003B6134"/>
    <w:rsid w:val="003B66E6"/>
    <w:rsid w:val="003D178C"/>
    <w:rsid w:val="003D3B87"/>
    <w:rsid w:val="003E0071"/>
    <w:rsid w:val="003E2E56"/>
    <w:rsid w:val="003E579A"/>
    <w:rsid w:val="003E621A"/>
    <w:rsid w:val="003E6683"/>
    <w:rsid w:val="003F5594"/>
    <w:rsid w:val="003F59AC"/>
    <w:rsid w:val="004028B7"/>
    <w:rsid w:val="00406825"/>
    <w:rsid w:val="00411031"/>
    <w:rsid w:val="00413638"/>
    <w:rsid w:val="00413F46"/>
    <w:rsid w:val="00416BED"/>
    <w:rsid w:val="00416BFF"/>
    <w:rsid w:val="00420458"/>
    <w:rsid w:val="00421C85"/>
    <w:rsid w:val="00422741"/>
    <w:rsid w:val="0043280F"/>
    <w:rsid w:val="004335ED"/>
    <w:rsid w:val="0043432F"/>
    <w:rsid w:val="00434B7B"/>
    <w:rsid w:val="004418C7"/>
    <w:rsid w:val="00442CA9"/>
    <w:rsid w:val="00445EDC"/>
    <w:rsid w:val="0045159E"/>
    <w:rsid w:val="00453928"/>
    <w:rsid w:val="00453AC0"/>
    <w:rsid w:val="0046181D"/>
    <w:rsid w:val="004633B3"/>
    <w:rsid w:val="00466EB3"/>
    <w:rsid w:val="004731D3"/>
    <w:rsid w:val="00474BBC"/>
    <w:rsid w:val="00485F9D"/>
    <w:rsid w:val="00490114"/>
    <w:rsid w:val="00492C34"/>
    <w:rsid w:val="00493986"/>
    <w:rsid w:val="00494A13"/>
    <w:rsid w:val="004A003E"/>
    <w:rsid w:val="004A27E4"/>
    <w:rsid w:val="004A3F7C"/>
    <w:rsid w:val="004A4A6D"/>
    <w:rsid w:val="004A5C4A"/>
    <w:rsid w:val="004A79BC"/>
    <w:rsid w:val="004B1A5E"/>
    <w:rsid w:val="004B1BF2"/>
    <w:rsid w:val="004B32EE"/>
    <w:rsid w:val="004B39A8"/>
    <w:rsid w:val="004B6906"/>
    <w:rsid w:val="004B7F62"/>
    <w:rsid w:val="004C0B4A"/>
    <w:rsid w:val="004C40C9"/>
    <w:rsid w:val="004D1065"/>
    <w:rsid w:val="004D3020"/>
    <w:rsid w:val="004D6674"/>
    <w:rsid w:val="004D71D6"/>
    <w:rsid w:val="004E375D"/>
    <w:rsid w:val="004F47F2"/>
    <w:rsid w:val="004F5C72"/>
    <w:rsid w:val="004F783A"/>
    <w:rsid w:val="00500527"/>
    <w:rsid w:val="005041BB"/>
    <w:rsid w:val="00507A1F"/>
    <w:rsid w:val="00510FBC"/>
    <w:rsid w:val="00514EEF"/>
    <w:rsid w:val="0052112C"/>
    <w:rsid w:val="00522B7F"/>
    <w:rsid w:val="00526AE7"/>
    <w:rsid w:val="00527D1D"/>
    <w:rsid w:val="005300A0"/>
    <w:rsid w:val="00532CEE"/>
    <w:rsid w:val="005362D3"/>
    <w:rsid w:val="00537C08"/>
    <w:rsid w:val="00543265"/>
    <w:rsid w:val="0054436F"/>
    <w:rsid w:val="00544671"/>
    <w:rsid w:val="0054737A"/>
    <w:rsid w:val="00550107"/>
    <w:rsid w:val="0055406B"/>
    <w:rsid w:val="00560C43"/>
    <w:rsid w:val="00561326"/>
    <w:rsid w:val="00562206"/>
    <w:rsid w:val="0056418D"/>
    <w:rsid w:val="0056744E"/>
    <w:rsid w:val="00567463"/>
    <w:rsid w:val="00575805"/>
    <w:rsid w:val="005808D7"/>
    <w:rsid w:val="00583396"/>
    <w:rsid w:val="00585611"/>
    <w:rsid w:val="00591B41"/>
    <w:rsid w:val="0059271C"/>
    <w:rsid w:val="005963FA"/>
    <w:rsid w:val="005969C9"/>
    <w:rsid w:val="005A33B5"/>
    <w:rsid w:val="005A520D"/>
    <w:rsid w:val="005A53F6"/>
    <w:rsid w:val="005A636F"/>
    <w:rsid w:val="005A6F0B"/>
    <w:rsid w:val="005B5062"/>
    <w:rsid w:val="005B5D72"/>
    <w:rsid w:val="005B7095"/>
    <w:rsid w:val="005C0743"/>
    <w:rsid w:val="005C3745"/>
    <w:rsid w:val="005C6BE9"/>
    <w:rsid w:val="005C7B07"/>
    <w:rsid w:val="005D1660"/>
    <w:rsid w:val="005D21A1"/>
    <w:rsid w:val="005D39A9"/>
    <w:rsid w:val="005E0FEA"/>
    <w:rsid w:val="005E4D6B"/>
    <w:rsid w:val="005E5DBB"/>
    <w:rsid w:val="005F0146"/>
    <w:rsid w:val="005F10CE"/>
    <w:rsid w:val="005F160E"/>
    <w:rsid w:val="005F27D9"/>
    <w:rsid w:val="006017BB"/>
    <w:rsid w:val="00602A89"/>
    <w:rsid w:val="00606297"/>
    <w:rsid w:val="00606A19"/>
    <w:rsid w:val="006103FC"/>
    <w:rsid w:val="006123A8"/>
    <w:rsid w:val="00612563"/>
    <w:rsid w:val="006177B4"/>
    <w:rsid w:val="00620FF0"/>
    <w:rsid w:val="00621711"/>
    <w:rsid w:val="00621B66"/>
    <w:rsid w:val="00623BB5"/>
    <w:rsid w:val="00625DAB"/>
    <w:rsid w:val="00627226"/>
    <w:rsid w:val="006342CE"/>
    <w:rsid w:val="00636AD0"/>
    <w:rsid w:val="00641A98"/>
    <w:rsid w:val="006429CB"/>
    <w:rsid w:val="00643795"/>
    <w:rsid w:val="00646244"/>
    <w:rsid w:val="006471C5"/>
    <w:rsid w:val="00647BBA"/>
    <w:rsid w:val="00651F3A"/>
    <w:rsid w:val="0065533E"/>
    <w:rsid w:val="00655417"/>
    <w:rsid w:val="00656AE4"/>
    <w:rsid w:val="006628C1"/>
    <w:rsid w:val="0066375E"/>
    <w:rsid w:val="00664886"/>
    <w:rsid w:val="00664E78"/>
    <w:rsid w:val="00665141"/>
    <w:rsid w:val="00666240"/>
    <w:rsid w:val="00666E05"/>
    <w:rsid w:val="00667B9D"/>
    <w:rsid w:val="00667EC3"/>
    <w:rsid w:val="00670FE5"/>
    <w:rsid w:val="00674856"/>
    <w:rsid w:val="00676779"/>
    <w:rsid w:val="006813D5"/>
    <w:rsid w:val="006836C9"/>
    <w:rsid w:val="00683D27"/>
    <w:rsid w:val="00684613"/>
    <w:rsid w:val="00687E9E"/>
    <w:rsid w:val="006907BE"/>
    <w:rsid w:val="00692DCA"/>
    <w:rsid w:val="0069439C"/>
    <w:rsid w:val="00695443"/>
    <w:rsid w:val="006A5C02"/>
    <w:rsid w:val="006A73FB"/>
    <w:rsid w:val="006B0EE3"/>
    <w:rsid w:val="006B6094"/>
    <w:rsid w:val="006C11E3"/>
    <w:rsid w:val="006C1334"/>
    <w:rsid w:val="006C235F"/>
    <w:rsid w:val="006C3B0A"/>
    <w:rsid w:val="006C562E"/>
    <w:rsid w:val="006C61B8"/>
    <w:rsid w:val="006C6FEB"/>
    <w:rsid w:val="006D139A"/>
    <w:rsid w:val="006D1A57"/>
    <w:rsid w:val="006D2FDA"/>
    <w:rsid w:val="006E048B"/>
    <w:rsid w:val="006E1A87"/>
    <w:rsid w:val="006E21A7"/>
    <w:rsid w:val="006F1BD0"/>
    <w:rsid w:val="006F3B40"/>
    <w:rsid w:val="006F5C43"/>
    <w:rsid w:val="006F61BE"/>
    <w:rsid w:val="006F6C9A"/>
    <w:rsid w:val="0070233A"/>
    <w:rsid w:val="00704502"/>
    <w:rsid w:val="007047BF"/>
    <w:rsid w:val="0070510F"/>
    <w:rsid w:val="007065C9"/>
    <w:rsid w:val="007101AD"/>
    <w:rsid w:val="00712B7A"/>
    <w:rsid w:val="007139C5"/>
    <w:rsid w:val="007148B4"/>
    <w:rsid w:val="0071670F"/>
    <w:rsid w:val="00717B1D"/>
    <w:rsid w:val="00717DCB"/>
    <w:rsid w:val="00717F61"/>
    <w:rsid w:val="007200DD"/>
    <w:rsid w:val="0072033A"/>
    <w:rsid w:val="00721630"/>
    <w:rsid w:val="00721F0F"/>
    <w:rsid w:val="007225B7"/>
    <w:rsid w:val="007232AF"/>
    <w:rsid w:val="00737F09"/>
    <w:rsid w:val="00740397"/>
    <w:rsid w:val="00740F22"/>
    <w:rsid w:val="007421A7"/>
    <w:rsid w:val="007434B6"/>
    <w:rsid w:val="0074731B"/>
    <w:rsid w:val="00752B58"/>
    <w:rsid w:val="00752D13"/>
    <w:rsid w:val="007537C2"/>
    <w:rsid w:val="00755BF4"/>
    <w:rsid w:val="00765968"/>
    <w:rsid w:val="007662E9"/>
    <w:rsid w:val="00766355"/>
    <w:rsid w:val="00771E99"/>
    <w:rsid w:val="00773B69"/>
    <w:rsid w:val="00775EFE"/>
    <w:rsid w:val="00785659"/>
    <w:rsid w:val="007857E7"/>
    <w:rsid w:val="0079023D"/>
    <w:rsid w:val="007911B4"/>
    <w:rsid w:val="00792E1C"/>
    <w:rsid w:val="007A23B1"/>
    <w:rsid w:val="007A241D"/>
    <w:rsid w:val="007A3988"/>
    <w:rsid w:val="007A4CF9"/>
    <w:rsid w:val="007A5ABA"/>
    <w:rsid w:val="007A6F95"/>
    <w:rsid w:val="007A7E46"/>
    <w:rsid w:val="007B24EB"/>
    <w:rsid w:val="007B3389"/>
    <w:rsid w:val="007B5581"/>
    <w:rsid w:val="007B6CBD"/>
    <w:rsid w:val="007B7241"/>
    <w:rsid w:val="007B76A3"/>
    <w:rsid w:val="007D0843"/>
    <w:rsid w:val="007D0DF2"/>
    <w:rsid w:val="007D16F9"/>
    <w:rsid w:val="007D4C93"/>
    <w:rsid w:val="007D7819"/>
    <w:rsid w:val="007E5FA0"/>
    <w:rsid w:val="007F0FE3"/>
    <w:rsid w:val="007F4A53"/>
    <w:rsid w:val="007F4B15"/>
    <w:rsid w:val="007F7924"/>
    <w:rsid w:val="0080227B"/>
    <w:rsid w:val="008027D4"/>
    <w:rsid w:val="00803D9E"/>
    <w:rsid w:val="008079A6"/>
    <w:rsid w:val="00810033"/>
    <w:rsid w:val="0081236B"/>
    <w:rsid w:val="0081329A"/>
    <w:rsid w:val="00814B88"/>
    <w:rsid w:val="00814E54"/>
    <w:rsid w:val="00815AB4"/>
    <w:rsid w:val="00815C86"/>
    <w:rsid w:val="00816628"/>
    <w:rsid w:val="008179C8"/>
    <w:rsid w:val="008208E2"/>
    <w:rsid w:val="00821FF1"/>
    <w:rsid w:val="00822688"/>
    <w:rsid w:val="00823571"/>
    <w:rsid w:val="00826C2B"/>
    <w:rsid w:val="0083133D"/>
    <w:rsid w:val="0083260E"/>
    <w:rsid w:val="00833B13"/>
    <w:rsid w:val="00833FB8"/>
    <w:rsid w:val="008347BC"/>
    <w:rsid w:val="008349C6"/>
    <w:rsid w:val="00835BEB"/>
    <w:rsid w:val="008451D1"/>
    <w:rsid w:val="00850815"/>
    <w:rsid w:val="00850947"/>
    <w:rsid w:val="00851743"/>
    <w:rsid w:val="00851A91"/>
    <w:rsid w:val="00852901"/>
    <w:rsid w:val="00852D28"/>
    <w:rsid w:val="008530D7"/>
    <w:rsid w:val="00854DFA"/>
    <w:rsid w:val="00856080"/>
    <w:rsid w:val="00856556"/>
    <w:rsid w:val="0085717C"/>
    <w:rsid w:val="0086444D"/>
    <w:rsid w:val="008663E2"/>
    <w:rsid w:val="00872CBD"/>
    <w:rsid w:val="0087505B"/>
    <w:rsid w:val="00876631"/>
    <w:rsid w:val="0088004D"/>
    <w:rsid w:val="008818BA"/>
    <w:rsid w:val="00882C18"/>
    <w:rsid w:val="00887B3A"/>
    <w:rsid w:val="008956F2"/>
    <w:rsid w:val="008A0C84"/>
    <w:rsid w:val="008A260B"/>
    <w:rsid w:val="008A280B"/>
    <w:rsid w:val="008A2AF0"/>
    <w:rsid w:val="008A3BFE"/>
    <w:rsid w:val="008A4890"/>
    <w:rsid w:val="008A5578"/>
    <w:rsid w:val="008A55F8"/>
    <w:rsid w:val="008A6484"/>
    <w:rsid w:val="008C0246"/>
    <w:rsid w:val="008C103F"/>
    <w:rsid w:val="008C5A88"/>
    <w:rsid w:val="008C7422"/>
    <w:rsid w:val="008C7CF7"/>
    <w:rsid w:val="008D0373"/>
    <w:rsid w:val="008D0DDD"/>
    <w:rsid w:val="008D1685"/>
    <w:rsid w:val="008D5383"/>
    <w:rsid w:val="008D6F24"/>
    <w:rsid w:val="008D7299"/>
    <w:rsid w:val="008E0DAF"/>
    <w:rsid w:val="008E128B"/>
    <w:rsid w:val="008E2B3E"/>
    <w:rsid w:val="008E3FAB"/>
    <w:rsid w:val="008E6B18"/>
    <w:rsid w:val="008E7DD4"/>
    <w:rsid w:val="008F0716"/>
    <w:rsid w:val="008F0725"/>
    <w:rsid w:val="008F2F0C"/>
    <w:rsid w:val="00901319"/>
    <w:rsid w:val="0090223E"/>
    <w:rsid w:val="00903BC2"/>
    <w:rsid w:val="00905B31"/>
    <w:rsid w:val="009104EF"/>
    <w:rsid w:val="009120C9"/>
    <w:rsid w:val="00912539"/>
    <w:rsid w:val="00920D7C"/>
    <w:rsid w:val="009249DC"/>
    <w:rsid w:val="00925821"/>
    <w:rsid w:val="00927029"/>
    <w:rsid w:val="00930B1C"/>
    <w:rsid w:val="00932BF6"/>
    <w:rsid w:val="00932D39"/>
    <w:rsid w:val="00933734"/>
    <w:rsid w:val="00935E0C"/>
    <w:rsid w:val="009377C5"/>
    <w:rsid w:val="0094187A"/>
    <w:rsid w:val="00941CD9"/>
    <w:rsid w:val="00942FC0"/>
    <w:rsid w:val="009435CD"/>
    <w:rsid w:val="00943D48"/>
    <w:rsid w:val="0095065D"/>
    <w:rsid w:val="009620AB"/>
    <w:rsid w:val="00965F78"/>
    <w:rsid w:val="009663B9"/>
    <w:rsid w:val="00966DD7"/>
    <w:rsid w:val="00973708"/>
    <w:rsid w:val="00982ABB"/>
    <w:rsid w:val="00990E27"/>
    <w:rsid w:val="00990EED"/>
    <w:rsid w:val="00991269"/>
    <w:rsid w:val="00993043"/>
    <w:rsid w:val="00993148"/>
    <w:rsid w:val="00994FFD"/>
    <w:rsid w:val="009A15F5"/>
    <w:rsid w:val="009A4500"/>
    <w:rsid w:val="009A4751"/>
    <w:rsid w:val="009A4833"/>
    <w:rsid w:val="009A4A03"/>
    <w:rsid w:val="009A53A7"/>
    <w:rsid w:val="009B3FB2"/>
    <w:rsid w:val="009B43FC"/>
    <w:rsid w:val="009B5F1A"/>
    <w:rsid w:val="009B6C65"/>
    <w:rsid w:val="009C47EA"/>
    <w:rsid w:val="009C4C3D"/>
    <w:rsid w:val="009C6591"/>
    <w:rsid w:val="009D2531"/>
    <w:rsid w:val="009D3A60"/>
    <w:rsid w:val="009D5133"/>
    <w:rsid w:val="009D5AC3"/>
    <w:rsid w:val="009D660B"/>
    <w:rsid w:val="009E0661"/>
    <w:rsid w:val="009E09B2"/>
    <w:rsid w:val="009E18FF"/>
    <w:rsid w:val="009E3993"/>
    <w:rsid w:val="009E465D"/>
    <w:rsid w:val="009F26BC"/>
    <w:rsid w:val="009F4D6C"/>
    <w:rsid w:val="009F5346"/>
    <w:rsid w:val="00A003B7"/>
    <w:rsid w:val="00A024B6"/>
    <w:rsid w:val="00A02BC7"/>
    <w:rsid w:val="00A04329"/>
    <w:rsid w:val="00A05A8E"/>
    <w:rsid w:val="00A071A3"/>
    <w:rsid w:val="00A139F8"/>
    <w:rsid w:val="00A242D4"/>
    <w:rsid w:val="00A25338"/>
    <w:rsid w:val="00A308BF"/>
    <w:rsid w:val="00A32235"/>
    <w:rsid w:val="00A343D1"/>
    <w:rsid w:val="00A343D7"/>
    <w:rsid w:val="00A3577E"/>
    <w:rsid w:val="00A35A59"/>
    <w:rsid w:val="00A35BA6"/>
    <w:rsid w:val="00A35E29"/>
    <w:rsid w:val="00A40947"/>
    <w:rsid w:val="00A41768"/>
    <w:rsid w:val="00A43EBC"/>
    <w:rsid w:val="00A51D08"/>
    <w:rsid w:val="00A54258"/>
    <w:rsid w:val="00A55EAA"/>
    <w:rsid w:val="00A6037F"/>
    <w:rsid w:val="00A60602"/>
    <w:rsid w:val="00A6201D"/>
    <w:rsid w:val="00A667C1"/>
    <w:rsid w:val="00A66D74"/>
    <w:rsid w:val="00A70385"/>
    <w:rsid w:val="00A726D7"/>
    <w:rsid w:val="00A80D26"/>
    <w:rsid w:val="00A856A2"/>
    <w:rsid w:val="00A96EAE"/>
    <w:rsid w:val="00A97631"/>
    <w:rsid w:val="00A976E7"/>
    <w:rsid w:val="00AA0425"/>
    <w:rsid w:val="00AA3AAB"/>
    <w:rsid w:val="00AA6650"/>
    <w:rsid w:val="00AB1081"/>
    <w:rsid w:val="00AB2628"/>
    <w:rsid w:val="00AB719D"/>
    <w:rsid w:val="00AC0139"/>
    <w:rsid w:val="00AC41FC"/>
    <w:rsid w:val="00AD290A"/>
    <w:rsid w:val="00AE411D"/>
    <w:rsid w:val="00AE4561"/>
    <w:rsid w:val="00AF5FBC"/>
    <w:rsid w:val="00B0042B"/>
    <w:rsid w:val="00B00494"/>
    <w:rsid w:val="00B016F6"/>
    <w:rsid w:val="00B027DF"/>
    <w:rsid w:val="00B047DF"/>
    <w:rsid w:val="00B11C83"/>
    <w:rsid w:val="00B134B1"/>
    <w:rsid w:val="00B14A72"/>
    <w:rsid w:val="00B1516D"/>
    <w:rsid w:val="00B15F68"/>
    <w:rsid w:val="00B1720F"/>
    <w:rsid w:val="00B31B27"/>
    <w:rsid w:val="00B32AB3"/>
    <w:rsid w:val="00B33CB9"/>
    <w:rsid w:val="00B35A05"/>
    <w:rsid w:val="00B4222F"/>
    <w:rsid w:val="00B42A37"/>
    <w:rsid w:val="00B43544"/>
    <w:rsid w:val="00B45473"/>
    <w:rsid w:val="00B4795E"/>
    <w:rsid w:val="00B55310"/>
    <w:rsid w:val="00B558BC"/>
    <w:rsid w:val="00B55C0C"/>
    <w:rsid w:val="00B56CBA"/>
    <w:rsid w:val="00B60BBF"/>
    <w:rsid w:val="00B6254C"/>
    <w:rsid w:val="00B64543"/>
    <w:rsid w:val="00B64AA4"/>
    <w:rsid w:val="00B6731A"/>
    <w:rsid w:val="00B727D3"/>
    <w:rsid w:val="00B72E72"/>
    <w:rsid w:val="00B7453B"/>
    <w:rsid w:val="00B774A7"/>
    <w:rsid w:val="00B812C9"/>
    <w:rsid w:val="00B83149"/>
    <w:rsid w:val="00B852E3"/>
    <w:rsid w:val="00B85856"/>
    <w:rsid w:val="00B85CBC"/>
    <w:rsid w:val="00B8697D"/>
    <w:rsid w:val="00B9223C"/>
    <w:rsid w:val="00BA05BE"/>
    <w:rsid w:val="00BA2415"/>
    <w:rsid w:val="00BA5EE1"/>
    <w:rsid w:val="00BB0E83"/>
    <w:rsid w:val="00BB1C24"/>
    <w:rsid w:val="00BB25C6"/>
    <w:rsid w:val="00BB27B7"/>
    <w:rsid w:val="00BB42EF"/>
    <w:rsid w:val="00BB4C9D"/>
    <w:rsid w:val="00BC6B9E"/>
    <w:rsid w:val="00BD3255"/>
    <w:rsid w:val="00BD5336"/>
    <w:rsid w:val="00BD75CF"/>
    <w:rsid w:val="00BD78D4"/>
    <w:rsid w:val="00BE18C0"/>
    <w:rsid w:val="00BE4535"/>
    <w:rsid w:val="00BE5A0B"/>
    <w:rsid w:val="00BE6FD9"/>
    <w:rsid w:val="00BE77EA"/>
    <w:rsid w:val="00BF15AF"/>
    <w:rsid w:val="00BF32A6"/>
    <w:rsid w:val="00BF428A"/>
    <w:rsid w:val="00BF6830"/>
    <w:rsid w:val="00C01612"/>
    <w:rsid w:val="00C0213A"/>
    <w:rsid w:val="00C02705"/>
    <w:rsid w:val="00C03725"/>
    <w:rsid w:val="00C053B2"/>
    <w:rsid w:val="00C07336"/>
    <w:rsid w:val="00C13310"/>
    <w:rsid w:val="00C16BD9"/>
    <w:rsid w:val="00C2033A"/>
    <w:rsid w:val="00C22769"/>
    <w:rsid w:val="00C23096"/>
    <w:rsid w:val="00C24CF9"/>
    <w:rsid w:val="00C27FDC"/>
    <w:rsid w:val="00C32F60"/>
    <w:rsid w:val="00C353A6"/>
    <w:rsid w:val="00C36147"/>
    <w:rsid w:val="00C36F27"/>
    <w:rsid w:val="00C370D4"/>
    <w:rsid w:val="00C40C2F"/>
    <w:rsid w:val="00C41428"/>
    <w:rsid w:val="00C434D7"/>
    <w:rsid w:val="00C46616"/>
    <w:rsid w:val="00C47241"/>
    <w:rsid w:val="00C50410"/>
    <w:rsid w:val="00C51A9C"/>
    <w:rsid w:val="00C55C13"/>
    <w:rsid w:val="00C60745"/>
    <w:rsid w:val="00C608B8"/>
    <w:rsid w:val="00C610EA"/>
    <w:rsid w:val="00C61310"/>
    <w:rsid w:val="00C61FB9"/>
    <w:rsid w:val="00C63D00"/>
    <w:rsid w:val="00C655EB"/>
    <w:rsid w:val="00C66ECA"/>
    <w:rsid w:val="00C70787"/>
    <w:rsid w:val="00C71BAA"/>
    <w:rsid w:val="00C75711"/>
    <w:rsid w:val="00C8776E"/>
    <w:rsid w:val="00C91062"/>
    <w:rsid w:val="00C92A9F"/>
    <w:rsid w:val="00C95C6F"/>
    <w:rsid w:val="00CA4F62"/>
    <w:rsid w:val="00CB0D8C"/>
    <w:rsid w:val="00CB7157"/>
    <w:rsid w:val="00CC292E"/>
    <w:rsid w:val="00CC3397"/>
    <w:rsid w:val="00CC5793"/>
    <w:rsid w:val="00CD16B7"/>
    <w:rsid w:val="00CD524D"/>
    <w:rsid w:val="00CF679F"/>
    <w:rsid w:val="00D025F8"/>
    <w:rsid w:val="00D026E1"/>
    <w:rsid w:val="00D02DD8"/>
    <w:rsid w:val="00D0416D"/>
    <w:rsid w:val="00D055F6"/>
    <w:rsid w:val="00D059A0"/>
    <w:rsid w:val="00D065C7"/>
    <w:rsid w:val="00D15E36"/>
    <w:rsid w:val="00D17C99"/>
    <w:rsid w:val="00D2101E"/>
    <w:rsid w:val="00D2393C"/>
    <w:rsid w:val="00D25A82"/>
    <w:rsid w:val="00D260AE"/>
    <w:rsid w:val="00D34D04"/>
    <w:rsid w:val="00D36923"/>
    <w:rsid w:val="00D36E0A"/>
    <w:rsid w:val="00D40F59"/>
    <w:rsid w:val="00D45799"/>
    <w:rsid w:val="00D5077E"/>
    <w:rsid w:val="00D539FC"/>
    <w:rsid w:val="00D55DDA"/>
    <w:rsid w:val="00D57E17"/>
    <w:rsid w:val="00D60418"/>
    <w:rsid w:val="00D6213E"/>
    <w:rsid w:val="00D62D96"/>
    <w:rsid w:val="00D641B5"/>
    <w:rsid w:val="00D70F96"/>
    <w:rsid w:val="00D75F01"/>
    <w:rsid w:val="00D842E5"/>
    <w:rsid w:val="00D84CC5"/>
    <w:rsid w:val="00D853AA"/>
    <w:rsid w:val="00D85EC0"/>
    <w:rsid w:val="00D86B89"/>
    <w:rsid w:val="00D87092"/>
    <w:rsid w:val="00D95F78"/>
    <w:rsid w:val="00DA5497"/>
    <w:rsid w:val="00DA5C4F"/>
    <w:rsid w:val="00DA5F04"/>
    <w:rsid w:val="00DB69A0"/>
    <w:rsid w:val="00DC259E"/>
    <w:rsid w:val="00DC2A9E"/>
    <w:rsid w:val="00DD2355"/>
    <w:rsid w:val="00DD24E3"/>
    <w:rsid w:val="00DE209D"/>
    <w:rsid w:val="00DE304A"/>
    <w:rsid w:val="00DE51A4"/>
    <w:rsid w:val="00DE5ABA"/>
    <w:rsid w:val="00DF1850"/>
    <w:rsid w:val="00DF33A4"/>
    <w:rsid w:val="00DF4AFE"/>
    <w:rsid w:val="00DF4C53"/>
    <w:rsid w:val="00DF6029"/>
    <w:rsid w:val="00E00765"/>
    <w:rsid w:val="00E00FE6"/>
    <w:rsid w:val="00E04DA2"/>
    <w:rsid w:val="00E04EEF"/>
    <w:rsid w:val="00E07C64"/>
    <w:rsid w:val="00E103B0"/>
    <w:rsid w:val="00E14D62"/>
    <w:rsid w:val="00E22194"/>
    <w:rsid w:val="00E249E7"/>
    <w:rsid w:val="00E254C7"/>
    <w:rsid w:val="00E262EC"/>
    <w:rsid w:val="00E30A60"/>
    <w:rsid w:val="00E345F6"/>
    <w:rsid w:val="00E40FB4"/>
    <w:rsid w:val="00E429D5"/>
    <w:rsid w:val="00E45436"/>
    <w:rsid w:val="00E462CD"/>
    <w:rsid w:val="00E52932"/>
    <w:rsid w:val="00E53368"/>
    <w:rsid w:val="00E54C01"/>
    <w:rsid w:val="00E55372"/>
    <w:rsid w:val="00E61F22"/>
    <w:rsid w:val="00E63C30"/>
    <w:rsid w:val="00E65186"/>
    <w:rsid w:val="00E6739E"/>
    <w:rsid w:val="00E67942"/>
    <w:rsid w:val="00E70A4C"/>
    <w:rsid w:val="00E730A1"/>
    <w:rsid w:val="00E74F7E"/>
    <w:rsid w:val="00E834F1"/>
    <w:rsid w:val="00E83541"/>
    <w:rsid w:val="00E8407B"/>
    <w:rsid w:val="00E861B5"/>
    <w:rsid w:val="00E96D4D"/>
    <w:rsid w:val="00EA0780"/>
    <w:rsid w:val="00EA233E"/>
    <w:rsid w:val="00EA30FD"/>
    <w:rsid w:val="00EC092C"/>
    <w:rsid w:val="00EC2EBB"/>
    <w:rsid w:val="00EC40F6"/>
    <w:rsid w:val="00EC7B39"/>
    <w:rsid w:val="00ED1980"/>
    <w:rsid w:val="00ED4212"/>
    <w:rsid w:val="00ED641D"/>
    <w:rsid w:val="00ED6A86"/>
    <w:rsid w:val="00EE1530"/>
    <w:rsid w:val="00EE5787"/>
    <w:rsid w:val="00EF1F53"/>
    <w:rsid w:val="00EF2A48"/>
    <w:rsid w:val="00EF6334"/>
    <w:rsid w:val="00F013CF"/>
    <w:rsid w:val="00F04477"/>
    <w:rsid w:val="00F117C0"/>
    <w:rsid w:val="00F14D8D"/>
    <w:rsid w:val="00F152EE"/>
    <w:rsid w:val="00F17ECB"/>
    <w:rsid w:val="00F24FFD"/>
    <w:rsid w:val="00F31920"/>
    <w:rsid w:val="00F418CF"/>
    <w:rsid w:val="00F4406D"/>
    <w:rsid w:val="00F461DB"/>
    <w:rsid w:val="00F5719A"/>
    <w:rsid w:val="00F604EC"/>
    <w:rsid w:val="00F70789"/>
    <w:rsid w:val="00F731AE"/>
    <w:rsid w:val="00F825B7"/>
    <w:rsid w:val="00F82A8A"/>
    <w:rsid w:val="00F84528"/>
    <w:rsid w:val="00F84E99"/>
    <w:rsid w:val="00F86AA9"/>
    <w:rsid w:val="00F8719B"/>
    <w:rsid w:val="00F90B6C"/>
    <w:rsid w:val="00F92750"/>
    <w:rsid w:val="00F92D80"/>
    <w:rsid w:val="00F93A48"/>
    <w:rsid w:val="00F95A55"/>
    <w:rsid w:val="00FA4039"/>
    <w:rsid w:val="00FA7AC8"/>
    <w:rsid w:val="00FB110F"/>
    <w:rsid w:val="00FB2990"/>
    <w:rsid w:val="00FB2B9E"/>
    <w:rsid w:val="00FB3628"/>
    <w:rsid w:val="00FB5497"/>
    <w:rsid w:val="00FB6577"/>
    <w:rsid w:val="00FC0101"/>
    <w:rsid w:val="00FC46A4"/>
    <w:rsid w:val="00FC6A00"/>
    <w:rsid w:val="00FD52E4"/>
    <w:rsid w:val="00FD63B0"/>
    <w:rsid w:val="00FE0B01"/>
    <w:rsid w:val="00FE0EBB"/>
    <w:rsid w:val="00FE2E4A"/>
    <w:rsid w:val="00FE47A3"/>
    <w:rsid w:val="00FE5015"/>
    <w:rsid w:val="00FE76CC"/>
    <w:rsid w:val="00FF0764"/>
    <w:rsid w:val="00FF0902"/>
    <w:rsid w:val="00FF231E"/>
    <w:rsid w:val="00FF268D"/>
    <w:rsid w:val="00FF4B86"/>
    <w:rsid w:val="00FF6E83"/>
    <w:rsid w:val="00FF70D7"/>
    <w:rsid w:val="18BF02D3"/>
    <w:rsid w:val="258C5B04"/>
    <w:rsid w:val="49A56AAA"/>
    <w:rsid w:val="5A9B3113"/>
    <w:rsid w:val="608B1BBE"/>
    <w:rsid w:val="691E002B"/>
    <w:rsid w:val="7A351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EB66B37"/>
  <w15:chartTrackingRefBased/>
  <w15:docId w15:val="{FBC48220-F050-4464-8609-46B22A8B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rFonts w:ascii="Arial" w:hAnsi="Arial"/>
      <w:szCs w:val="22"/>
      <w:lang w:val="ru-RU" w:eastAsia="en-US"/>
    </w:rPr>
  </w:style>
  <w:style w:type="character" w:default="1" w:styleId="Domylnaczcionkaakapitu">
    <w:name w:val="Default Paragraph Font"/>
    <w:uiPriority w:val="1"/>
    <w:unhideWhenUsed/>
  </w:style>
  <w:style w:type="table" w:default="1" w:styleId="Standardowy">
    <w:name w:val="Normal Table"/>
    <w:uiPriority w:val="99"/>
    <w:unhideWhenUsed/>
    <w:tblPr>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kocowego">
    <w:name w:val="endnote reference"/>
    <w:uiPriority w:val="99"/>
    <w:unhideWhenUsed/>
    <w:rPr>
      <w:vertAlign w:val="superscript"/>
    </w:rPr>
  </w:style>
  <w:style w:type="character" w:customStyle="1" w:styleId="apple-converted-space">
    <w:name w:val="apple-converted-space"/>
    <w:basedOn w:val="Domylnaczcionkaakapitu"/>
  </w:style>
  <w:style w:type="character" w:customStyle="1" w:styleId="HTML-wstpniesformatowanyZnak">
    <w:name w:val="HTML - wstępnie sformatowany Znak"/>
    <w:link w:val="HTML-wstpniesformatowany"/>
    <w:uiPriority w:val="99"/>
    <w:rPr>
      <w:rFonts w:ascii="Courier New" w:hAnsi="Courier New" w:cs="Courier New"/>
      <w:color w:val="000000"/>
      <w:sz w:val="20"/>
      <w:szCs w:val="20"/>
      <w:lang w:val="pl-PL" w:eastAsia="pl-PL"/>
    </w:rPr>
  </w:style>
  <w:style w:type="character" w:customStyle="1" w:styleId="onetix">
    <w:name w:val="onetix"/>
  </w:style>
  <w:style w:type="character" w:customStyle="1" w:styleId="TekstdymkaZnak">
    <w:name w:val="Tekst dymka Znak"/>
    <w:link w:val="Tekstdymka"/>
    <w:uiPriority w:val="99"/>
    <w:semiHidden/>
    <w:rPr>
      <w:rFonts w:ascii="Tahoma" w:hAnsi="Tahoma" w:cs="Tahoma"/>
      <w:sz w:val="16"/>
      <w:szCs w:val="16"/>
    </w:rPr>
  </w:style>
  <w:style w:type="character" w:styleId="Pogrubienie">
    <w:name w:val="Strong"/>
    <w:uiPriority w:val="22"/>
    <w:qFormat/>
    <w:rPr>
      <w:b/>
      <w:bCs/>
    </w:rPr>
  </w:style>
  <w:style w:type="character" w:customStyle="1" w:styleId="StopkaZnak">
    <w:name w:val="Stopka Znak"/>
    <w:link w:val="Stopka"/>
    <w:uiPriority w:val="99"/>
    <w:rPr>
      <w:rFonts w:ascii="Arial" w:hAnsi="Arial"/>
      <w:sz w:val="20"/>
    </w:rPr>
  </w:style>
  <w:style w:type="character" w:styleId="Nierozpoznanawzmianka">
    <w:name w:val="Unresolved Mention"/>
    <w:uiPriority w:val="99"/>
    <w:unhideWhenUsed/>
    <w:rPr>
      <w:color w:val="808080"/>
      <w:shd w:val="clear" w:color="auto" w:fill="E6E6E6"/>
    </w:rPr>
  </w:style>
  <w:style w:type="character" w:customStyle="1" w:styleId="Tytu1">
    <w:name w:val="Tytuł1"/>
  </w:style>
  <w:style w:type="character" w:customStyle="1" w:styleId="im">
    <w:name w:val="im"/>
    <w:basedOn w:val="Domylnaczcionkaakapitu"/>
  </w:style>
  <w:style w:type="character" w:customStyle="1" w:styleId="NagwekZnak">
    <w:name w:val="Nagłówek Znak"/>
    <w:link w:val="Nagwek"/>
    <w:uiPriority w:val="99"/>
    <w:rPr>
      <w:rFonts w:ascii="Arial" w:hAnsi="Arial"/>
      <w:sz w:val="20"/>
    </w:rPr>
  </w:style>
  <w:style w:type="character" w:styleId="Hipercze">
    <w:name w:val="Hyperlink"/>
    <w:uiPriority w:val="99"/>
    <w:unhideWhenUsed/>
    <w:rPr>
      <w:color w:val="000080"/>
      <w:u w:val="single"/>
    </w:rPr>
  </w:style>
  <w:style w:type="character" w:styleId="UyteHipercze">
    <w:name w:val="FollowedHyperlink"/>
    <w:uiPriority w:val="99"/>
    <w:unhideWhenUsed/>
    <w:rPr>
      <w:color w:val="800000"/>
      <w:u w:val="single"/>
    </w:rPr>
  </w:style>
  <w:style w:type="character" w:customStyle="1" w:styleId="m-3638663590005996648674452108-13112017">
    <w:name w:val="m_-3638663590005996648674452108-13112017"/>
  </w:style>
  <w:style w:type="character" w:customStyle="1" w:styleId="TekstprzypisukocowegoZnak">
    <w:name w:val="Tekst przypisu końcowego Znak"/>
    <w:link w:val="Tekstprzypisukocowego"/>
    <w:uiPriority w:val="99"/>
    <w:semiHidden/>
    <w:rPr>
      <w:rFonts w:ascii="Arial" w:hAnsi="Arial"/>
      <w:lang w:val="ru-RU" w:eastAsia="en-US"/>
    </w:rPr>
  </w:style>
  <w:style w:type="paragraph" w:styleId="Tekstprzypisukocowego">
    <w:name w:val="endnote text"/>
    <w:basedOn w:val="Normalny"/>
    <w:link w:val="TekstprzypisukocowegoZnak"/>
    <w:uiPriority w:val="99"/>
    <w:unhideWhenUsed/>
    <w:rPr>
      <w:szCs w:val="20"/>
    </w:rPr>
  </w:style>
  <w:style w:type="paragraph" w:styleId="NormalnyWeb">
    <w:name w:val="Normal (Web)"/>
    <w:basedOn w:val="Normalny"/>
    <w:uiPriority w:val="99"/>
    <w:unhideWhenUsed/>
    <w:pPr>
      <w:spacing w:before="100" w:beforeAutospacing="1" w:after="100" w:afterAutospacing="1"/>
      <w:jc w:val="left"/>
    </w:pPr>
    <w:rPr>
      <w:rFonts w:ascii="Times New Roman" w:eastAsia="Times New Roman" w:hAnsi="Times New Roman"/>
      <w:sz w:val="24"/>
      <w:szCs w:val="24"/>
      <w:lang w:val="pl-PL" w:eastAsia="pl-PL"/>
    </w:rPr>
  </w:style>
  <w:style w:type="paragraph" w:styleId="Bezodstpw">
    <w:name w:val="No Spacing"/>
    <w:basedOn w:val="Normalny"/>
    <w:uiPriority w:val="1"/>
    <w:qFormat/>
    <w:pPr>
      <w:spacing w:before="100" w:beforeAutospacing="1" w:after="100" w:afterAutospacing="1"/>
      <w:jc w:val="left"/>
    </w:pPr>
    <w:rPr>
      <w:rFonts w:ascii="Times New Roman" w:eastAsia="Times New Roman" w:hAnsi="Times New Roman"/>
      <w:sz w:val="24"/>
      <w:szCs w:val="24"/>
      <w:lang w:val="pl-PL" w:eastAsia="pl-PL"/>
    </w:rPr>
  </w:style>
  <w:style w:type="paragraph" w:styleId="Tekstdymka">
    <w:name w:val="Balloon Text"/>
    <w:basedOn w:val="Normalny"/>
    <w:link w:val="TekstdymkaZnak"/>
    <w:uiPriority w:val="99"/>
    <w:unhideWhenUsed/>
    <w:rPr>
      <w:rFonts w:ascii="Tahoma" w:hAnsi="Tahoma" w:cs="Tahoma"/>
      <w:sz w:val="16"/>
      <w:szCs w:val="16"/>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lang w:val="pl-PL" w:eastAsia="pl-PL"/>
    </w:rPr>
  </w:style>
  <w:style w:type="paragraph" w:customStyle="1" w:styleId="Tretekstu">
    <w:name w:val="Tre?? tekstu"/>
    <w:basedOn w:val="Domylnie"/>
    <w:uiPriority w:val="99"/>
    <w:unhideWhenUsed/>
    <w:pPr>
      <w:spacing w:after="120"/>
    </w:pPr>
  </w:style>
  <w:style w:type="paragraph" w:styleId="Nagwek">
    <w:name w:val="header"/>
    <w:basedOn w:val="Normalny"/>
    <w:link w:val="NagwekZnak"/>
    <w:uiPriority w:val="99"/>
    <w:unhideWhenUsed/>
    <w:pPr>
      <w:tabs>
        <w:tab w:val="center" w:pos="4536"/>
        <w:tab w:val="right" w:pos="9072"/>
      </w:tabs>
    </w:pPr>
  </w:style>
  <w:style w:type="paragraph" w:styleId="Akapitzlist">
    <w:name w:val="List Paragraph"/>
    <w:basedOn w:val="Normalny"/>
    <w:uiPriority w:val="34"/>
    <w:qFormat/>
    <w:pPr>
      <w:ind w:left="720"/>
      <w:jc w:val="left"/>
    </w:pPr>
    <w:rPr>
      <w:rFonts w:ascii="Calibri" w:hAnsi="Calibri"/>
      <w:color w:val="000000"/>
      <w:sz w:val="22"/>
      <w:lang w:val="pl-PL" w:eastAsia="pl-PL"/>
    </w:rPr>
  </w:style>
  <w:style w:type="paragraph" w:customStyle="1" w:styleId="Textbody">
    <w:name w:val="Text body"/>
    <w:basedOn w:val="Normalny"/>
    <w:pPr>
      <w:widowControl w:val="0"/>
      <w:suppressAutoHyphens/>
      <w:autoSpaceDN w:val="0"/>
      <w:spacing w:after="120"/>
      <w:jc w:val="left"/>
    </w:pPr>
    <w:rPr>
      <w:rFonts w:ascii="Times New Roman" w:eastAsia="Lucida Sans Unicode" w:hAnsi="Times New Roman" w:cs="Mangal"/>
      <w:kern w:val="3"/>
      <w:sz w:val="24"/>
      <w:szCs w:val="24"/>
      <w:lang w:val="pl-PL" w:eastAsia="zh-CN" w:bidi="hi-IN"/>
    </w:rPr>
  </w:style>
  <w:style w:type="paragraph" w:styleId="Stopka">
    <w:name w:val="footer"/>
    <w:basedOn w:val="Normalny"/>
    <w:link w:val="StopkaZnak"/>
    <w:uiPriority w:val="99"/>
    <w:unhideWhenUsed/>
    <w:pPr>
      <w:tabs>
        <w:tab w:val="center" w:pos="4536"/>
        <w:tab w:val="right" w:pos="9072"/>
      </w:tabs>
    </w:pPr>
  </w:style>
  <w:style w:type="paragraph" w:customStyle="1" w:styleId="Domylnie">
    <w:name w:val="Domy?lnie"/>
    <w:uiPriority w:val="99"/>
    <w:unhideWhenUsed/>
    <w:pPr>
      <w:widowControl w:val="0"/>
      <w:autoSpaceDE w:val="0"/>
      <w:autoSpaceDN w:val="0"/>
      <w:adjustRightInd w:val="0"/>
    </w:pPr>
    <w:rPr>
      <w:sz w:val="24"/>
      <w:szCs w:val="24"/>
      <w:lang/>
    </w:rPr>
  </w:style>
  <w:style w:type="paragraph" w:customStyle="1" w:styleId="Default">
    <w:name w:val="Default"/>
    <w:pPr>
      <w:autoSpaceDE w:val="0"/>
      <w:autoSpaceDN w:val="0"/>
      <w:adjustRightInd w:val="0"/>
    </w:pPr>
    <w:rPr>
      <w:rFonts w:ascii="Swis721LtEU" w:hAnsi="Swis721LtEU" w:cs="Swis721LtEU"/>
      <w:color w:val="000000"/>
      <w:sz w:val="24"/>
      <w:szCs w:val="24"/>
      <w:lang w:eastAsia="en-U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basedOn w:val="Standardowy"/>
    <w:uiPriority w:val="49"/>
    <w:rsid w:val="00BF428A"/>
    <w:rPr>
      <w:rFonts w:ascii="Calibri" w:eastAsia="Calibri" w:hAnsi="Calibri"/>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gethome.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gethome.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779E7-CFB5-47BC-B48C-D3C84AA4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624</Words>
  <Characters>3748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I</Company>
  <LinksUpToDate>false</LinksUpToDate>
  <CharactersWithSpaces>4364</CharactersWithSpaces>
  <SharedDoc>false</SharedDoc>
  <HLinks>
    <vt:vector size="12" baseType="variant">
      <vt:variant>
        <vt:i4>3342377</vt:i4>
      </vt:variant>
      <vt:variant>
        <vt:i4>3</vt:i4>
      </vt:variant>
      <vt:variant>
        <vt:i4>0</vt:i4>
      </vt:variant>
      <vt:variant>
        <vt:i4>5</vt:i4>
      </vt:variant>
      <vt:variant>
        <vt:lpwstr>https://gethome.pl/</vt:lpwstr>
      </vt:variant>
      <vt:variant>
        <vt:lpwstr/>
      </vt:variant>
      <vt:variant>
        <vt:i4>3342377</vt:i4>
      </vt:variant>
      <vt:variant>
        <vt:i4>0</vt:i4>
      </vt:variant>
      <vt:variant>
        <vt:i4>0</vt:i4>
      </vt:variant>
      <vt:variant>
        <vt:i4>5</vt:i4>
      </vt:variant>
      <vt:variant>
        <vt:lpwstr>https://gethome.pl/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MX</dc:creator>
  <cp:keywords/>
  <cp:lastModifiedBy>Agnieszka Studzińska</cp:lastModifiedBy>
  <cp:revision>2</cp:revision>
  <cp:lastPrinted>2014-09-17T12:56:00Z</cp:lastPrinted>
  <dcterms:created xsi:type="dcterms:W3CDTF">2025-05-20T13:18:00Z</dcterms:created>
  <dcterms:modified xsi:type="dcterms:W3CDTF">2025-05-20T13:18:00Z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